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0994" w14:textId="0C1104C2" w:rsidR="00881788" w:rsidRPr="00A25542" w:rsidRDefault="00522C53" w:rsidP="00881788">
      <w:pPr>
        <w:pStyle w:val="OHHMainHeading"/>
        <w:rPr>
          <w:sz w:val="22"/>
          <w:szCs w:val="22"/>
          <w:lang w:val="en-US"/>
        </w:rPr>
      </w:pPr>
      <w:r w:rsidRPr="00A25542">
        <w:rPr>
          <w:sz w:val="22"/>
          <w:szCs w:val="22"/>
          <w:lang w:val="en-US"/>
        </w:rPr>
        <w:t>TERM SHEET FOR SERIES SEED PREFERRED SHARE FINANCING OF</w:t>
      </w:r>
      <w:r w:rsidRPr="00A25542">
        <w:rPr>
          <w:sz w:val="22"/>
          <w:szCs w:val="22"/>
          <w:lang w:val="en-US"/>
        </w:rPr>
        <w:br/>
      </w:r>
      <w:r w:rsidRPr="00A25542">
        <w:rPr>
          <w:sz w:val="22"/>
          <w:szCs w:val="22"/>
          <w:lang w:val="en-US"/>
        </w:rPr>
        <w:br/>
        <w:t>[COMPANY NAME]</w:t>
      </w:r>
    </w:p>
    <w:p w14:paraId="3B0F4C61" w14:textId="77777777" w:rsidR="00881788" w:rsidRPr="00A25542" w:rsidRDefault="00522C53" w:rsidP="00881788">
      <w:pPr>
        <w:pStyle w:val="OHHpara"/>
        <w:rPr>
          <w:sz w:val="22"/>
          <w:szCs w:val="22"/>
          <w:lang w:val="en-US"/>
        </w:rPr>
      </w:pPr>
      <w:r w:rsidRPr="00A25542">
        <w:rPr>
          <w:sz w:val="22"/>
          <w:szCs w:val="22"/>
          <w:lang w:val="en-US"/>
        </w:rPr>
        <w:t xml:space="preserve">This Term Sheet summarizes the principal terms of the proposed Series Seed Preferred Share Financing of [Company Name], a corporation governed by the [laws of the </w:t>
      </w:r>
      <w:proofErr w:type="gramStart"/>
      <w:r w:rsidRPr="00A25542">
        <w:rPr>
          <w:sz w:val="22"/>
          <w:szCs w:val="22"/>
          <w:lang w:val="en-US"/>
        </w:rPr>
        <w:t>Province</w:t>
      </w:r>
      <w:proofErr w:type="gramEnd"/>
      <w:r w:rsidRPr="00A25542">
        <w:rPr>
          <w:sz w:val="22"/>
          <w:szCs w:val="22"/>
          <w:lang w:val="en-US"/>
        </w:rPr>
        <w:t xml:space="preserve"> of </w:t>
      </w:r>
      <w:r w:rsidRPr="00A25542">
        <w:rPr>
          <w:rFonts w:ascii="Wingdings" w:hAnsi="Wingdings"/>
          <w:sz w:val="22"/>
          <w:szCs w:val="22"/>
        </w:rPr>
        <w:sym w:font="Wingdings" w:char="F06C"/>
      </w:r>
      <w:r w:rsidRPr="00A25542">
        <w:rPr>
          <w:sz w:val="22"/>
          <w:szCs w:val="22"/>
          <w:lang w:val="en-US"/>
        </w:rPr>
        <w:t xml:space="preserve"> / federal laws of Canada] (the “</w:t>
      </w:r>
      <w:r w:rsidRPr="00A25542">
        <w:rPr>
          <w:b/>
          <w:bCs/>
          <w:sz w:val="22"/>
          <w:szCs w:val="22"/>
          <w:lang w:val="en-US"/>
        </w:rPr>
        <w:t>Company</w:t>
      </w:r>
      <w:r w:rsidRPr="00A25542">
        <w:rPr>
          <w:sz w:val="22"/>
          <w:szCs w:val="22"/>
          <w:lang w:val="en-US"/>
        </w:rPr>
        <w:t>”). Except as provided under “</w:t>
      </w:r>
      <w:r w:rsidRPr="00A25542">
        <w:rPr>
          <w:i/>
          <w:iCs/>
          <w:sz w:val="22"/>
          <w:szCs w:val="22"/>
          <w:lang w:val="en-US"/>
        </w:rPr>
        <w:t>Confidentiality</w:t>
      </w:r>
      <w:r w:rsidRPr="00A25542">
        <w:rPr>
          <w:sz w:val="22"/>
          <w:szCs w:val="22"/>
          <w:lang w:val="en-US"/>
        </w:rPr>
        <w:t>”, “</w:t>
      </w:r>
      <w:r w:rsidRPr="00A25542">
        <w:rPr>
          <w:i/>
          <w:iCs/>
          <w:sz w:val="22"/>
          <w:szCs w:val="22"/>
          <w:lang w:val="en-US"/>
        </w:rPr>
        <w:t>Exclusivity</w:t>
      </w:r>
      <w:r w:rsidRPr="00A25542">
        <w:rPr>
          <w:sz w:val="22"/>
          <w:szCs w:val="22"/>
          <w:lang w:val="en-US"/>
        </w:rPr>
        <w:t>” and “</w:t>
      </w:r>
      <w:r w:rsidRPr="00A25542">
        <w:rPr>
          <w:i/>
          <w:iCs/>
          <w:sz w:val="22"/>
          <w:szCs w:val="22"/>
          <w:lang w:val="en-US"/>
        </w:rPr>
        <w:t>Governing Law</w:t>
      </w:r>
      <w:r w:rsidRPr="00A25542">
        <w:rPr>
          <w:sz w:val="22"/>
          <w:szCs w:val="22"/>
          <w:lang w:val="en-US"/>
        </w:rPr>
        <w:t>”, this Term Sheet does not constitute a legally binding obligation. A legally binding obligation will only be made pursuant to definitive agreements to be negotiated, executed and delivered by the parties.</w:t>
      </w:r>
      <w:r w:rsidRPr="00A25542">
        <w:rPr>
          <w:sz w:val="22"/>
          <w:szCs w:val="22"/>
        </w:rPr>
        <w:t xml:space="preserve"> </w:t>
      </w:r>
      <w:r w:rsidRPr="00A25542">
        <w:rPr>
          <w:sz w:val="22"/>
          <w:szCs w:val="22"/>
          <w:lang w:val="en-US"/>
        </w:rPr>
        <w:t>All amounts are in [Canadian/US] dollars.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7"/>
      </w:tblGrid>
      <w:tr w:rsidR="000831CE" w:rsidRPr="00A25542" w14:paraId="4F2EE205" w14:textId="77777777" w:rsidTr="00881788">
        <w:tc>
          <w:tcPr>
            <w:tcW w:w="1843" w:type="dxa"/>
          </w:tcPr>
          <w:p w14:paraId="54F2085E" w14:textId="77777777" w:rsidR="00881788" w:rsidRPr="00A25542" w:rsidRDefault="00522C53" w:rsidP="00881788">
            <w:pPr>
              <w:pStyle w:val="OHHTableText"/>
              <w:rPr>
                <w:b/>
                <w:bCs/>
                <w:sz w:val="22"/>
                <w:szCs w:val="22"/>
                <w:lang w:val="en-US"/>
              </w:rPr>
            </w:pPr>
            <w:r w:rsidRPr="00A25542">
              <w:rPr>
                <w:b/>
                <w:bCs/>
                <w:sz w:val="22"/>
                <w:szCs w:val="22"/>
                <w:lang w:val="en-US"/>
              </w:rPr>
              <w:t>Securities:</w:t>
            </w:r>
          </w:p>
        </w:tc>
        <w:tc>
          <w:tcPr>
            <w:tcW w:w="7517" w:type="dxa"/>
          </w:tcPr>
          <w:p w14:paraId="6437E3E6" w14:textId="00AB59EC" w:rsidR="00881788" w:rsidRPr="00A25542" w:rsidRDefault="00522C53" w:rsidP="00881788">
            <w:pPr>
              <w:pStyle w:val="OHHTableText"/>
              <w:jc w:val="both"/>
              <w:rPr>
                <w:sz w:val="22"/>
                <w:szCs w:val="22"/>
                <w:lang w:val="en-US"/>
              </w:rPr>
            </w:pPr>
            <w:r w:rsidRPr="00A25542">
              <w:rPr>
                <w:sz w:val="22"/>
                <w:szCs w:val="22"/>
                <w:lang w:val="en-US"/>
              </w:rPr>
              <w:t>Series Seed Preferred Shares (the “</w:t>
            </w:r>
            <w:r w:rsidRPr="00A25542">
              <w:rPr>
                <w:b/>
                <w:bCs/>
                <w:sz w:val="22"/>
                <w:szCs w:val="22"/>
                <w:lang w:val="en-US"/>
              </w:rPr>
              <w:t>Series Seed Preferred</w:t>
            </w:r>
            <w:r w:rsidRPr="00A25542">
              <w:rPr>
                <w:sz w:val="22"/>
                <w:szCs w:val="22"/>
                <w:lang w:val="en-US"/>
              </w:rPr>
              <w:t>”)</w:t>
            </w:r>
            <w:r>
              <w:rPr>
                <w:sz w:val="22"/>
                <w:szCs w:val="22"/>
                <w:lang w:val="en-US"/>
              </w:rPr>
              <w:t>.</w:t>
            </w:r>
          </w:p>
        </w:tc>
      </w:tr>
      <w:tr w:rsidR="000831CE" w:rsidRPr="00A25542" w14:paraId="2A26445A" w14:textId="77777777" w:rsidTr="00881788">
        <w:tc>
          <w:tcPr>
            <w:tcW w:w="1843" w:type="dxa"/>
          </w:tcPr>
          <w:p w14:paraId="54A1B022" w14:textId="77777777" w:rsidR="00881788" w:rsidRPr="00A25542" w:rsidRDefault="00522C53" w:rsidP="00881788">
            <w:pPr>
              <w:pStyle w:val="OHHTableText"/>
              <w:rPr>
                <w:b/>
                <w:bCs/>
                <w:sz w:val="22"/>
                <w:szCs w:val="22"/>
                <w:lang w:val="en-US"/>
              </w:rPr>
            </w:pPr>
            <w:r w:rsidRPr="00A25542">
              <w:rPr>
                <w:b/>
                <w:bCs/>
                <w:sz w:val="22"/>
                <w:szCs w:val="22"/>
                <w:lang w:val="en-US"/>
              </w:rPr>
              <w:t>Investment:</w:t>
            </w:r>
          </w:p>
        </w:tc>
        <w:tc>
          <w:tcPr>
            <w:tcW w:w="7517" w:type="dxa"/>
          </w:tcPr>
          <w:p w14:paraId="59EEEBC8" w14:textId="77777777" w:rsidR="00881788" w:rsidRPr="00A25542" w:rsidRDefault="00522C53" w:rsidP="00881788">
            <w:pPr>
              <w:pStyle w:val="OHHTableText"/>
              <w:jc w:val="both"/>
              <w:rPr>
                <w:sz w:val="22"/>
                <w:szCs w:val="22"/>
                <w:lang w:val="en-US"/>
              </w:rPr>
            </w:pPr>
            <w:r w:rsidRPr="00A25542">
              <w:rPr>
                <w:sz w:val="22"/>
                <w:szCs w:val="22"/>
                <w:lang w:val="en-US"/>
              </w:rPr>
              <w:t>Up to $</w:t>
            </w:r>
            <w:r w:rsidRPr="00A25542">
              <w:rPr>
                <w:rFonts w:ascii="Wingdings" w:hAnsi="Wingdings"/>
                <w:sz w:val="22"/>
                <w:szCs w:val="22"/>
                <w:lang w:val="en-US"/>
              </w:rPr>
              <w:sym w:font="Wingdings" w:char="F06C"/>
            </w:r>
            <w:r w:rsidRPr="00A25542">
              <w:rPr>
                <w:sz w:val="22"/>
                <w:szCs w:val="22"/>
                <w:lang w:val="en-US"/>
              </w:rPr>
              <w:t xml:space="preserve"> of new capital, of which [Lead Investor Name] (the “</w:t>
            </w:r>
            <w:r w:rsidRPr="00A25542">
              <w:rPr>
                <w:b/>
                <w:bCs/>
                <w:sz w:val="22"/>
                <w:szCs w:val="22"/>
                <w:lang w:val="en-US"/>
              </w:rPr>
              <w:t>Lead Investor</w:t>
            </w:r>
            <w:r w:rsidRPr="00A25542">
              <w:rPr>
                <w:sz w:val="22"/>
                <w:szCs w:val="22"/>
                <w:lang w:val="en-US"/>
              </w:rPr>
              <w:t>”) will invest $</w:t>
            </w:r>
            <w:r w:rsidRPr="00A25542">
              <w:rPr>
                <w:rFonts w:ascii="Wingdings" w:hAnsi="Wingdings"/>
                <w:sz w:val="22"/>
                <w:szCs w:val="22"/>
                <w:lang w:val="en-US"/>
              </w:rPr>
              <w:sym w:font="Wingdings" w:char="F06C"/>
            </w:r>
            <w:r w:rsidRPr="00A25542">
              <w:rPr>
                <w:sz w:val="22"/>
                <w:szCs w:val="22"/>
                <w:lang w:val="en-US"/>
              </w:rPr>
              <w:t>. The remaining amount may be raised within 90 days of the initial closing from other investors acceptable to the Lead Investor (“</w:t>
            </w:r>
            <w:r w:rsidRPr="00A25542">
              <w:rPr>
                <w:b/>
                <w:bCs/>
                <w:sz w:val="22"/>
                <w:szCs w:val="22"/>
                <w:lang w:val="en-US"/>
              </w:rPr>
              <w:t>Other Investors</w:t>
            </w:r>
            <w:r w:rsidRPr="00A25542">
              <w:rPr>
                <w:sz w:val="22"/>
                <w:szCs w:val="22"/>
                <w:lang w:val="en-US"/>
              </w:rPr>
              <w:t>” and together with the Lead Investor, the “</w:t>
            </w:r>
            <w:r w:rsidRPr="00A25542">
              <w:rPr>
                <w:b/>
                <w:bCs/>
                <w:sz w:val="22"/>
                <w:szCs w:val="22"/>
                <w:lang w:val="en-US"/>
              </w:rPr>
              <w:t>Investors</w:t>
            </w:r>
            <w:r w:rsidRPr="00A25542">
              <w:rPr>
                <w:sz w:val="22"/>
                <w:szCs w:val="22"/>
                <w:lang w:val="en-US"/>
              </w:rPr>
              <w:t>”).</w:t>
            </w:r>
          </w:p>
          <w:p w14:paraId="3DD832EB" w14:textId="77777777" w:rsidR="00881788" w:rsidRPr="00A25542" w:rsidRDefault="00522C53" w:rsidP="00881788">
            <w:pPr>
              <w:pStyle w:val="OHHTableText"/>
              <w:jc w:val="both"/>
              <w:rPr>
                <w:sz w:val="22"/>
                <w:szCs w:val="22"/>
                <w:lang w:val="en-US"/>
              </w:rPr>
            </w:pPr>
            <w:r w:rsidRPr="00A25542">
              <w:rPr>
                <w:sz w:val="22"/>
                <w:szCs w:val="22"/>
                <w:lang w:val="en-US"/>
              </w:rPr>
              <w:t>Any outstanding SAFEs, convertible notes and similar instruments (the “</w:t>
            </w:r>
            <w:r w:rsidRPr="00A25542">
              <w:rPr>
                <w:b/>
                <w:bCs/>
                <w:sz w:val="22"/>
                <w:szCs w:val="22"/>
                <w:lang w:val="en-US"/>
              </w:rPr>
              <w:t>Convertible Securities</w:t>
            </w:r>
            <w:r w:rsidRPr="00A25542">
              <w:rPr>
                <w:sz w:val="22"/>
                <w:szCs w:val="22"/>
                <w:lang w:val="en-US"/>
              </w:rPr>
              <w:t>”) will convert into one or more shadow series of Series Seed Preferred at the initial closing.</w:t>
            </w:r>
          </w:p>
        </w:tc>
      </w:tr>
      <w:tr w:rsidR="000831CE" w:rsidRPr="00A25542" w14:paraId="6F0ECC64" w14:textId="77777777" w:rsidTr="00881788">
        <w:tc>
          <w:tcPr>
            <w:tcW w:w="1843" w:type="dxa"/>
          </w:tcPr>
          <w:p w14:paraId="19190884" w14:textId="77777777" w:rsidR="00881788" w:rsidRPr="00A25542" w:rsidRDefault="00522C53" w:rsidP="00881788">
            <w:pPr>
              <w:pStyle w:val="OHHTableText"/>
              <w:rPr>
                <w:b/>
                <w:bCs/>
                <w:sz w:val="22"/>
                <w:szCs w:val="22"/>
                <w:lang w:val="en-US"/>
              </w:rPr>
            </w:pPr>
            <w:r w:rsidRPr="00A25542">
              <w:rPr>
                <w:b/>
                <w:bCs/>
                <w:sz w:val="22"/>
                <w:szCs w:val="22"/>
                <w:lang w:val="en-US"/>
              </w:rPr>
              <w:t>Share Price:</w:t>
            </w:r>
          </w:p>
        </w:tc>
        <w:tc>
          <w:tcPr>
            <w:tcW w:w="7517" w:type="dxa"/>
          </w:tcPr>
          <w:p w14:paraId="70685EEE" w14:textId="77777777" w:rsidR="00881788" w:rsidRPr="00A25542" w:rsidRDefault="00522C53" w:rsidP="00881788">
            <w:pPr>
              <w:pStyle w:val="OHHTableText"/>
              <w:jc w:val="both"/>
              <w:rPr>
                <w:sz w:val="22"/>
                <w:szCs w:val="22"/>
                <w:lang w:val="en-US"/>
              </w:rPr>
            </w:pPr>
            <w:r w:rsidRPr="00A25542">
              <w:rPr>
                <w:sz w:val="22"/>
                <w:szCs w:val="22"/>
                <w:lang w:val="en-US"/>
              </w:rPr>
              <w:t xml:space="preserve">The price per share of the Series Seed Preferred will be based on a </w:t>
            </w:r>
            <w:proofErr w:type="gramStart"/>
            <w:r w:rsidRPr="00A25542">
              <w:rPr>
                <w:sz w:val="22"/>
                <w:szCs w:val="22"/>
                <w:lang w:val="en-US"/>
              </w:rPr>
              <w:t>fully-diluted</w:t>
            </w:r>
            <w:proofErr w:type="gramEnd"/>
            <w:r w:rsidRPr="00A25542">
              <w:rPr>
                <w:sz w:val="22"/>
                <w:szCs w:val="22"/>
                <w:lang w:val="en-US"/>
              </w:rPr>
              <w:t xml:space="preserve"> pre-money valuation of $</w:t>
            </w:r>
            <w:r w:rsidRPr="00A25542">
              <w:rPr>
                <w:rFonts w:ascii="Wingdings" w:hAnsi="Wingdings"/>
                <w:sz w:val="22"/>
                <w:szCs w:val="22"/>
                <w:lang w:val="en-US"/>
              </w:rPr>
              <w:sym w:font="Wingdings" w:char="F06C"/>
            </w:r>
            <w:r w:rsidRPr="00A25542">
              <w:rPr>
                <w:sz w:val="22"/>
                <w:szCs w:val="22"/>
                <w:lang w:val="en-US"/>
              </w:rPr>
              <w:t xml:space="preserve">, inclusive of (i) an unallocated option pool equal to </w:t>
            </w:r>
            <w:r w:rsidRPr="00A25542">
              <w:rPr>
                <w:rFonts w:ascii="Wingdings" w:hAnsi="Wingdings"/>
                <w:sz w:val="22"/>
                <w:szCs w:val="22"/>
                <w:lang w:val="en-US"/>
              </w:rPr>
              <w:sym w:font="Wingdings" w:char="F06C"/>
            </w:r>
            <w:r w:rsidRPr="00A25542">
              <w:rPr>
                <w:sz w:val="22"/>
                <w:szCs w:val="22"/>
                <w:lang w:val="en-US"/>
              </w:rPr>
              <w:t xml:space="preserve">% of the </w:t>
            </w:r>
            <w:proofErr w:type="gramStart"/>
            <w:r w:rsidRPr="00A25542">
              <w:rPr>
                <w:sz w:val="22"/>
                <w:szCs w:val="22"/>
                <w:lang w:val="en-US"/>
              </w:rPr>
              <w:t>fully-diluted</w:t>
            </w:r>
            <w:proofErr w:type="gramEnd"/>
            <w:r w:rsidRPr="00A25542">
              <w:rPr>
                <w:sz w:val="22"/>
                <w:szCs w:val="22"/>
                <w:lang w:val="en-US"/>
              </w:rPr>
              <w:t xml:space="preserve"> capitalization on a post-money basis and (ii) the conversion of any outstanding Convertible Securities (the “</w:t>
            </w:r>
            <w:r w:rsidRPr="00A25542">
              <w:rPr>
                <w:b/>
                <w:bCs/>
                <w:sz w:val="22"/>
                <w:szCs w:val="22"/>
                <w:lang w:val="en-US"/>
              </w:rPr>
              <w:t>Seed Price</w:t>
            </w:r>
            <w:r w:rsidRPr="00A25542">
              <w:rPr>
                <w:sz w:val="22"/>
                <w:szCs w:val="22"/>
                <w:lang w:val="en-US"/>
              </w:rPr>
              <w:t>”).</w:t>
            </w:r>
          </w:p>
        </w:tc>
      </w:tr>
      <w:tr w:rsidR="000831CE" w:rsidRPr="00A25542" w14:paraId="292BF704" w14:textId="77777777" w:rsidTr="00881788">
        <w:tc>
          <w:tcPr>
            <w:tcW w:w="1843" w:type="dxa"/>
          </w:tcPr>
          <w:p w14:paraId="25C402F4" w14:textId="77777777" w:rsidR="00881788" w:rsidRPr="00A25542" w:rsidRDefault="00522C53" w:rsidP="00881788">
            <w:pPr>
              <w:pStyle w:val="OHHTableText"/>
              <w:rPr>
                <w:b/>
                <w:bCs/>
                <w:sz w:val="22"/>
                <w:szCs w:val="22"/>
                <w:lang w:val="en-US"/>
              </w:rPr>
            </w:pPr>
            <w:r w:rsidRPr="00A25542">
              <w:rPr>
                <w:b/>
                <w:bCs/>
                <w:sz w:val="22"/>
                <w:szCs w:val="22"/>
                <w:lang w:val="en-US"/>
              </w:rPr>
              <w:t>Liquidation and Dividend Preference:</w:t>
            </w:r>
          </w:p>
        </w:tc>
        <w:tc>
          <w:tcPr>
            <w:tcW w:w="7517" w:type="dxa"/>
          </w:tcPr>
          <w:p w14:paraId="6BB21066" w14:textId="77777777" w:rsidR="00881788" w:rsidRPr="00A25542" w:rsidRDefault="00522C53" w:rsidP="00881788">
            <w:pPr>
              <w:pStyle w:val="OHHTableText"/>
              <w:jc w:val="both"/>
              <w:rPr>
                <w:sz w:val="22"/>
                <w:szCs w:val="22"/>
                <w:lang w:val="en-US"/>
              </w:rPr>
            </w:pPr>
            <w:r w:rsidRPr="00A25542">
              <w:rPr>
                <w:sz w:val="22"/>
                <w:szCs w:val="22"/>
                <w:lang w:val="en-US"/>
              </w:rPr>
              <w:t>On a liquidation event, the Series Seed Preferred will have the right to receive the greater of (i) 1x the Seed Price or (ii) the as converted to Common Shares (the “</w:t>
            </w:r>
            <w:r w:rsidRPr="00A25542">
              <w:rPr>
                <w:b/>
                <w:bCs/>
                <w:sz w:val="22"/>
                <w:szCs w:val="22"/>
                <w:lang w:val="en-US"/>
              </w:rPr>
              <w:t>Common Shares</w:t>
            </w:r>
            <w:r w:rsidRPr="00A25542">
              <w:rPr>
                <w:sz w:val="22"/>
                <w:szCs w:val="22"/>
                <w:lang w:val="en-US"/>
              </w:rPr>
              <w:t>”) amount, with the balance paid to holders of Common Shares. The Series Seed Preferred will receive n</w:t>
            </w:r>
            <w:r w:rsidRPr="00A25542">
              <w:rPr>
                <w:sz w:val="22"/>
                <w:szCs w:val="22"/>
              </w:rPr>
              <w:t xml:space="preserve">on-cumulative dividends if, as and when declared by the </w:t>
            </w:r>
            <w:r w:rsidRPr="00A25542">
              <w:rPr>
                <w:sz w:val="22"/>
                <w:szCs w:val="22"/>
                <w:lang w:val="en-US"/>
              </w:rPr>
              <w:t>board of directors</w:t>
            </w:r>
            <w:r w:rsidRPr="00A25542">
              <w:rPr>
                <w:sz w:val="22"/>
                <w:szCs w:val="22"/>
              </w:rPr>
              <w:t>.</w:t>
            </w:r>
          </w:p>
        </w:tc>
      </w:tr>
      <w:tr w:rsidR="000831CE" w:rsidRPr="00A25542" w14:paraId="7A7CF101" w14:textId="77777777" w:rsidTr="00881788">
        <w:tc>
          <w:tcPr>
            <w:tcW w:w="1843" w:type="dxa"/>
          </w:tcPr>
          <w:p w14:paraId="16B025E7" w14:textId="77777777" w:rsidR="00881788" w:rsidRPr="00A25542" w:rsidRDefault="00522C53" w:rsidP="00881788">
            <w:pPr>
              <w:pStyle w:val="OHHTableText"/>
              <w:rPr>
                <w:b/>
                <w:bCs/>
                <w:sz w:val="22"/>
                <w:szCs w:val="22"/>
                <w:lang w:val="en-US"/>
              </w:rPr>
            </w:pPr>
            <w:r w:rsidRPr="00A25542">
              <w:rPr>
                <w:b/>
                <w:bCs/>
                <w:sz w:val="22"/>
                <w:szCs w:val="22"/>
                <w:lang w:val="en-US"/>
              </w:rPr>
              <w:t>Conversion:</w:t>
            </w:r>
          </w:p>
        </w:tc>
        <w:tc>
          <w:tcPr>
            <w:tcW w:w="7517" w:type="dxa"/>
          </w:tcPr>
          <w:p w14:paraId="7EAAD366" w14:textId="77777777" w:rsidR="00881788" w:rsidRPr="00A25542" w:rsidRDefault="00522C53" w:rsidP="00881788">
            <w:pPr>
              <w:pStyle w:val="OHHTableText"/>
              <w:jc w:val="both"/>
              <w:rPr>
                <w:sz w:val="22"/>
                <w:szCs w:val="22"/>
                <w:lang w:val="en-US"/>
              </w:rPr>
            </w:pPr>
            <w:r w:rsidRPr="00A25542">
              <w:rPr>
                <w:sz w:val="22"/>
                <w:szCs w:val="22"/>
                <w:lang w:val="en-US"/>
              </w:rPr>
              <w:t>Each Series Seed Preferred is convertible at any time into one Common Share (subject to customary adjustments for share splits, etc.) at the Investor’s election, or automatically, upon (i) the election of holders of a majority of Series Seed Preferred voting together as a single class (the “</w:t>
            </w:r>
            <w:r w:rsidRPr="00A25542">
              <w:rPr>
                <w:b/>
                <w:bCs/>
                <w:sz w:val="22"/>
                <w:szCs w:val="22"/>
                <w:lang w:val="en-US"/>
              </w:rPr>
              <w:t>Preferred Majority</w:t>
            </w:r>
            <w:r w:rsidRPr="00A25542">
              <w:rPr>
                <w:sz w:val="22"/>
                <w:szCs w:val="22"/>
                <w:lang w:val="en-US"/>
              </w:rPr>
              <w:t>”) or (ii) the closing of a qualified IPO resulting in at least $</w:t>
            </w:r>
            <w:r w:rsidRPr="00A25542">
              <w:rPr>
                <w:rFonts w:ascii="Wingdings" w:hAnsi="Wingdings"/>
                <w:sz w:val="22"/>
                <w:szCs w:val="22"/>
                <w:lang w:val="en-US"/>
              </w:rPr>
              <w:sym w:font="Wingdings" w:char="F06C"/>
            </w:r>
            <w:r w:rsidRPr="00A25542">
              <w:rPr>
                <w:sz w:val="22"/>
                <w:szCs w:val="22"/>
                <w:lang w:val="en-US"/>
              </w:rPr>
              <w:t xml:space="preserve"> in net proceeds to the Company.</w:t>
            </w:r>
          </w:p>
        </w:tc>
      </w:tr>
      <w:tr w:rsidR="000831CE" w:rsidRPr="00A25542" w14:paraId="03FBE8AF" w14:textId="77777777" w:rsidTr="00881788">
        <w:tc>
          <w:tcPr>
            <w:tcW w:w="1843" w:type="dxa"/>
          </w:tcPr>
          <w:p w14:paraId="2636A46F" w14:textId="77777777" w:rsidR="00881788" w:rsidRPr="00A25542" w:rsidRDefault="00522C53" w:rsidP="00881788">
            <w:pPr>
              <w:pStyle w:val="OHHTableText"/>
              <w:rPr>
                <w:b/>
                <w:bCs/>
                <w:sz w:val="22"/>
                <w:szCs w:val="22"/>
                <w:lang w:val="en-US"/>
              </w:rPr>
            </w:pPr>
            <w:r w:rsidRPr="00A25542">
              <w:rPr>
                <w:b/>
                <w:bCs/>
                <w:sz w:val="22"/>
                <w:szCs w:val="22"/>
                <w:lang w:val="en-US"/>
              </w:rPr>
              <w:t>Anti-Dilution Protection:</w:t>
            </w:r>
          </w:p>
        </w:tc>
        <w:tc>
          <w:tcPr>
            <w:tcW w:w="7517" w:type="dxa"/>
          </w:tcPr>
          <w:p w14:paraId="194EED8D" w14:textId="77777777" w:rsidR="00881788" w:rsidRPr="00A25542" w:rsidRDefault="00522C53" w:rsidP="00881788">
            <w:pPr>
              <w:pStyle w:val="OHHTableText"/>
              <w:jc w:val="both"/>
              <w:rPr>
                <w:sz w:val="22"/>
                <w:szCs w:val="22"/>
                <w:lang w:val="en-US"/>
              </w:rPr>
            </w:pPr>
            <w:r w:rsidRPr="00A25542">
              <w:rPr>
                <w:sz w:val="22"/>
                <w:szCs w:val="22"/>
                <w:lang w:val="en-US"/>
              </w:rPr>
              <w:t>The Series Seed Preferred will have broad-based weighted average anti-dilution price protection (subject to customary exceptions).</w:t>
            </w:r>
          </w:p>
        </w:tc>
      </w:tr>
      <w:tr w:rsidR="000831CE" w:rsidRPr="00A25542" w14:paraId="2D5CBAAA" w14:textId="77777777" w:rsidTr="00881788">
        <w:tc>
          <w:tcPr>
            <w:tcW w:w="1843" w:type="dxa"/>
          </w:tcPr>
          <w:p w14:paraId="721A265C" w14:textId="77777777" w:rsidR="00881788" w:rsidRPr="00A25542" w:rsidRDefault="00522C53" w:rsidP="00881788">
            <w:pPr>
              <w:pStyle w:val="OHHTableText"/>
              <w:rPr>
                <w:b/>
                <w:bCs/>
                <w:sz w:val="22"/>
                <w:szCs w:val="22"/>
                <w:lang w:val="en-US"/>
              </w:rPr>
            </w:pPr>
            <w:r w:rsidRPr="00A25542">
              <w:rPr>
                <w:b/>
                <w:bCs/>
                <w:sz w:val="22"/>
                <w:szCs w:val="22"/>
                <w:lang w:val="en-US"/>
              </w:rPr>
              <w:t>Voting Rights:</w:t>
            </w:r>
          </w:p>
        </w:tc>
        <w:tc>
          <w:tcPr>
            <w:tcW w:w="7517" w:type="dxa"/>
          </w:tcPr>
          <w:p w14:paraId="703E9EBD" w14:textId="77777777" w:rsidR="00881788" w:rsidRPr="00A25542" w:rsidRDefault="00522C53" w:rsidP="00881788">
            <w:pPr>
              <w:pStyle w:val="OHHTableText"/>
              <w:jc w:val="both"/>
              <w:rPr>
                <w:sz w:val="22"/>
                <w:szCs w:val="22"/>
                <w:lang w:val="en-US"/>
              </w:rPr>
            </w:pPr>
            <w:r w:rsidRPr="00A25542">
              <w:rPr>
                <w:sz w:val="22"/>
                <w:szCs w:val="22"/>
                <w:lang w:val="en-US"/>
              </w:rPr>
              <w:t xml:space="preserve">The Series Seed Preferred will vote with the Common Shares </w:t>
            </w:r>
            <w:proofErr w:type="gramStart"/>
            <w:r w:rsidRPr="00A25542">
              <w:rPr>
                <w:sz w:val="22"/>
                <w:szCs w:val="22"/>
                <w:lang w:val="en-US"/>
              </w:rPr>
              <w:t>on an</w:t>
            </w:r>
            <w:proofErr w:type="gramEnd"/>
            <w:r w:rsidRPr="00A25542">
              <w:rPr>
                <w:sz w:val="22"/>
                <w:szCs w:val="22"/>
                <w:lang w:val="en-US"/>
              </w:rPr>
              <w:t xml:space="preserve"> as converted basis, except as provided herein or otherwise required by law. Separate class and series votes will be waived to the greatest extent permitted by law.</w:t>
            </w:r>
          </w:p>
        </w:tc>
      </w:tr>
      <w:tr w:rsidR="000831CE" w:rsidRPr="00A25542" w14:paraId="20FE6EAD" w14:textId="77777777" w:rsidTr="003C42B6">
        <w:trPr>
          <w:cantSplit/>
        </w:trPr>
        <w:tc>
          <w:tcPr>
            <w:tcW w:w="1843" w:type="dxa"/>
          </w:tcPr>
          <w:p w14:paraId="13432FC7" w14:textId="77777777" w:rsidR="00881788" w:rsidRDefault="00522C53" w:rsidP="003C42B6">
            <w:pPr>
              <w:pStyle w:val="OHHTableText"/>
              <w:rPr>
                <w:b/>
                <w:bCs/>
                <w:sz w:val="22"/>
                <w:szCs w:val="22"/>
                <w:lang w:val="en-US"/>
              </w:rPr>
            </w:pPr>
            <w:r w:rsidRPr="00A25542">
              <w:rPr>
                <w:b/>
                <w:bCs/>
                <w:sz w:val="22"/>
                <w:szCs w:val="22"/>
                <w:lang w:val="en-US"/>
              </w:rPr>
              <w:t>Protective Provisions:</w:t>
            </w:r>
          </w:p>
          <w:p w14:paraId="143ACA54" w14:textId="77777777" w:rsidR="00815485" w:rsidRPr="00815485" w:rsidRDefault="00815485" w:rsidP="00815485">
            <w:pPr>
              <w:rPr>
                <w:lang w:val="en-US"/>
              </w:rPr>
            </w:pPr>
          </w:p>
          <w:p w14:paraId="32F90727" w14:textId="77777777" w:rsidR="00815485" w:rsidRPr="00815485" w:rsidRDefault="00815485" w:rsidP="00815485">
            <w:pPr>
              <w:rPr>
                <w:lang w:val="en-US"/>
              </w:rPr>
            </w:pPr>
          </w:p>
          <w:p w14:paraId="50C9FDD4" w14:textId="77777777" w:rsidR="00815485" w:rsidRPr="00815485" w:rsidRDefault="00815485" w:rsidP="00815485">
            <w:pPr>
              <w:rPr>
                <w:lang w:val="en-US"/>
              </w:rPr>
            </w:pPr>
          </w:p>
          <w:p w14:paraId="6B712BA4" w14:textId="77777777" w:rsidR="00815485" w:rsidRPr="00815485" w:rsidRDefault="00815485" w:rsidP="00815485">
            <w:pPr>
              <w:rPr>
                <w:lang w:val="en-US"/>
              </w:rPr>
            </w:pPr>
          </w:p>
          <w:p w14:paraId="0856FEC1" w14:textId="77777777" w:rsidR="00815485" w:rsidRPr="00815485" w:rsidRDefault="00815485" w:rsidP="00815485">
            <w:pPr>
              <w:rPr>
                <w:lang w:val="en-US"/>
              </w:rPr>
            </w:pPr>
          </w:p>
          <w:p w14:paraId="6D56B30B" w14:textId="77777777" w:rsidR="00815485" w:rsidRPr="00815485" w:rsidRDefault="00815485" w:rsidP="00815485">
            <w:pPr>
              <w:rPr>
                <w:lang w:val="en-US"/>
              </w:rPr>
            </w:pPr>
          </w:p>
          <w:p w14:paraId="5971C4ED" w14:textId="77777777" w:rsidR="00815485" w:rsidRPr="00815485" w:rsidRDefault="00815485" w:rsidP="00815485">
            <w:pPr>
              <w:rPr>
                <w:lang w:val="en-US"/>
              </w:rPr>
            </w:pPr>
          </w:p>
        </w:tc>
        <w:tc>
          <w:tcPr>
            <w:tcW w:w="7517" w:type="dxa"/>
          </w:tcPr>
          <w:p w14:paraId="7C9CA8A3" w14:textId="6BF8F743" w:rsidR="00881788" w:rsidRPr="00A25542" w:rsidRDefault="00522C53" w:rsidP="00881788">
            <w:pPr>
              <w:pStyle w:val="OHHTableText"/>
              <w:keepNext/>
              <w:keepLines/>
              <w:jc w:val="both"/>
              <w:rPr>
                <w:sz w:val="22"/>
                <w:szCs w:val="22"/>
                <w:lang w:val="en-US"/>
              </w:rPr>
            </w:pPr>
            <w:r w:rsidRPr="00A25542">
              <w:rPr>
                <w:sz w:val="22"/>
                <w:szCs w:val="22"/>
                <w:lang w:val="en-US"/>
              </w:rPr>
              <w:t xml:space="preserve">The consent of the Preferred Majority will be required prior to effecting: (i) a </w:t>
            </w:r>
            <w:r w:rsidRPr="00A25542">
              <w:rPr>
                <w:sz w:val="22"/>
                <w:szCs w:val="22"/>
              </w:rPr>
              <w:t>liquidation, winding up or dissolution, including any change of control or asset sale,</w:t>
            </w:r>
            <w:r w:rsidRPr="00A25542">
              <w:rPr>
                <w:sz w:val="22"/>
                <w:szCs w:val="22"/>
                <w:lang w:val="en-US"/>
              </w:rPr>
              <w:t xml:space="preserve"> (ii) an</w:t>
            </w:r>
            <w:r w:rsidR="004D0881" w:rsidRPr="00A25542">
              <w:rPr>
                <w:sz w:val="22"/>
                <w:szCs w:val="22"/>
                <w:lang w:val="en-US"/>
              </w:rPr>
              <w:t>y</w:t>
            </w:r>
            <w:r w:rsidRPr="00A25542">
              <w:rPr>
                <w:sz w:val="22"/>
                <w:szCs w:val="22"/>
                <w:lang w:val="en-US"/>
              </w:rPr>
              <w:t xml:space="preserve"> amendment of the Company’s articles [in a manner that adversely affects the Series Seed Preferred], (iii) the creation or issuance of any security senior to or </w:t>
            </w:r>
            <w:r w:rsidRPr="00A25542">
              <w:rPr>
                <w:i/>
                <w:iCs/>
                <w:sz w:val="22"/>
                <w:szCs w:val="22"/>
                <w:lang w:val="en-US"/>
              </w:rPr>
              <w:t>pari</w:t>
            </w:r>
            <w:r w:rsidRPr="00A25542">
              <w:rPr>
                <w:sz w:val="22"/>
                <w:szCs w:val="22"/>
                <w:lang w:val="en-US"/>
              </w:rPr>
              <w:t xml:space="preserve"> </w:t>
            </w:r>
            <w:r w:rsidRPr="00A25542">
              <w:rPr>
                <w:i/>
                <w:iCs/>
                <w:sz w:val="22"/>
                <w:szCs w:val="22"/>
                <w:lang w:val="en-US"/>
              </w:rPr>
              <w:t>passu</w:t>
            </w:r>
            <w:r w:rsidRPr="00A25542">
              <w:rPr>
                <w:sz w:val="22"/>
                <w:szCs w:val="22"/>
                <w:lang w:val="en-US"/>
              </w:rPr>
              <w:t xml:space="preserve"> with the Series Seed Preferred, (iv) an increase or decrease to the authorized number of shares of any class or series, (v) the amendment of an existing security to make it senior to or </w:t>
            </w:r>
            <w:r w:rsidRPr="00A25542">
              <w:rPr>
                <w:i/>
                <w:iCs/>
                <w:sz w:val="22"/>
                <w:szCs w:val="22"/>
                <w:lang w:val="en-US"/>
              </w:rPr>
              <w:t>pari passu</w:t>
            </w:r>
            <w:r w:rsidRPr="00A25542">
              <w:rPr>
                <w:sz w:val="22"/>
                <w:szCs w:val="22"/>
                <w:lang w:val="en-US"/>
              </w:rPr>
              <w:t xml:space="preserve"> with the Series Seed Preferred, (vi) a repurchase or redemption of any shares or a payment of dividends, (vii) the creation of any subsidiary that is not wholly-owned, or (viii) any indebtedness in excess of $</w:t>
            </w:r>
            <w:r w:rsidRPr="00A25542">
              <w:rPr>
                <w:rFonts w:ascii="Wingdings" w:hAnsi="Wingdings"/>
                <w:sz w:val="22"/>
                <w:szCs w:val="22"/>
                <w:lang w:val="en-US"/>
              </w:rPr>
              <w:sym w:font="Wingdings" w:char="F06C"/>
            </w:r>
            <w:r w:rsidR="004D0881" w:rsidRPr="00A25542">
              <w:rPr>
                <w:sz w:val="22"/>
                <w:szCs w:val="22"/>
                <w:lang w:val="en-US"/>
              </w:rPr>
              <w:t>, in aggregate;</w:t>
            </w:r>
            <w:r w:rsidRPr="00A25542">
              <w:rPr>
                <w:sz w:val="22"/>
                <w:szCs w:val="22"/>
                <w:lang w:val="en-US"/>
              </w:rPr>
              <w:t xml:space="preserve"> </w:t>
            </w:r>
            <w:r w:rsidRPr="00A25542">
              <w:rPr>
                <w:sz w:val="22"/>
                <w:szCs w:val="22"/>
              </w:rPr>
              <w:t>in each case subject to customary exceptions.</w:t>
            </w:r>
          </w:p>
        </w:tc>
      </w:tr>
      <w:tr w:rsidR="000831CE" w:rsidRPr="00A25542" w14:paraId="53908EDA" w14:textId="77777777" w:rsidTr="00881788">
        <w:tc>
          <w:tcPr>
            <w:tcW w:w="1843" w:type="dxa"/>
          </w:tcPr>
          <w:p w14:paraId="5BE8A741" w14:textId="77777777" w:rsidR="00881788" w:rsidRPr="00A25542" w:rsidRDefault="00522C53" w:rsidP="00881788">
            <w:pPr>
              <w:pStyle w:val="OHHTableText"/>
              <w:rPr>
                <w:b/>
                <w:bCs/>
                <w:sz w:val="22"/>
                <w:szCs w:val="22"/>
                <w:lang w:val="en-US"/>
              </w:rPr>
            </w:pPr>
            <w:r w:rsidRPr="00A25542">
              <w:rPr>
                <w:b/>
                <w:bCs/>
                <w:sz w:val="22"/>
                <w:szCs w:val="22"/>
                <w:lang w:val="en-US"/>
              </w:rPr>
              <w:lastRenderedPageBreak/>
              <w:t>Board of Directors:</w:t>
            </w:r>
          </w:p>
        </w:tc>
        <w:tc>
          <w:tcPr>
            <w:tcW w:w="7517" w:type="dxa"/>
          </w:tcPr>
          <w:p w14:paraId="0765629A" w14:textId="77777777" w:rsidR="00881788" w:rsidRPr="00A25542" w:rsidRDefault="00522C53" w:rsidP="00881788">
            <w:pPr>
              <w:pStyle w:val="OHHTableText"/>
              <w:jc w:val="both"/>
              <w:rPr>
                <w:sz w:val="22"/>
                <w:szCs w:val="22"/>
                <w:lang w:val="en-US"/>
              </w:rPr>
            </w:pPr>
            <w:r w:rsidRPr="00A25542">
              <w:rPr>
                <w:sz w:val="22"/>
                <w:szCs w:val="22"/>
                <w:lang w:val="en-US"/>
              </w:rPr>
              <w:t>The board of directors will consist of up to [three] members as follows:</w:t>
            </w:r>
          </w:p>
          <w:p w14:paraId="57845655" w14:textId="59573249" w:rsidR="00881788" w:rsidRPr="00A25542" w:rsidRDefault="00522C53" w:rsidP="00881788">
            <w:pPr>
              <w:pStyle w:val="OHHTableText"/>
              <w:numPr>
                <w:ilvl w:val="0"/>
                <w:numId w:val="11"/>
              </w:numPr>
              <w:jc w:val="both"/>
              <w:rPr>
                <w:sz w:val="22"/>
                <w:szCs w:val="22"/>
                <w:lang w:val="en-US"/>
              </w:rPr>
            </w:pPr>
            <w:r w:rsidRPr="00A25542">
              <w:rPr>
                <w:sz w:val="22"/>
                <w:szCs w:val="22"/>
                <w:lang w:val="en-US"/>
              </w:rPr>
              <w:t xml:space="preserve">Holders of </w:t>
            </w:r>
            <w:proofErr w:type="gramStart"/>
            <w:r w:rsidRPr="00A25542">
              <w:rPr>
                <w:sz w:val="22"/>
                <w:szCs w:val="22"/>
                <w:lang w:val="en-US"/>
              </w:rPr>
              <w:t>a majority of</w:t>
            </w:r>
            <w:proofErr w:type="gramEnd"/>
            <w:r w:rsidRPr="00A25542">
              <w:rPr>
                <w:sz w:val="22"/>
                <w:szCs w:val="22"/>
                <w:lang w:val="en-US"/>
              </w:rPr>
              <w:t xml:space="preserve"> the Common Shares held by persons who are then providing services to the Company (the “</w:t>
            </w:r>
            <w:r w:rsidRPr="00A25542">
              <w:rPr>
                <w:b/>
                <w:bCs/>
                <w:sz w:val="22"/>
                <w:szCs w:val="22"/>
                <w:lang w:val="en-US"/>
              </w:rPr>
              <w:t>Active Common Majority</w:t>
            </w:r>
            <w:r w:rsidRPr="00A25542">
              <w:rPr>
                <w:sz w:val="22"/>
                <w:szCs w:val="22"/>
                <w:lang w:val="en-US"/>
              </w:rPr>
              <w:t xml:space="preserve">”) will have the right to elect [two] directors, one of whom will be the CEO. The directors will initially be </w:t>
            </w:r>
            <w:r w:rsidRPr="00A25542">
              <w:rPr>
                <w:rFonts w:ascii="Wingdings" w:hAnsi="Wingdings"/>
                <w:sz w:val="22"/>
                <w:szCs w:val="22"/>
              </w:rPr>
              <w:sym w:font="Wingdings" w:char="F06C"/>
            </w:r>
            <w:r w:rsidRPr="00A25542">
              <w:rPr>
                <w:sz w:val="22"/>
                <w:szCs w:val="22"/>
              </w:rPr>
              <w:t xml:space="preserve"> and </w:t>
            </w:r>
            <w:r w:rsidRPr="00A25542">
              <w:rPr>
                <w:rFonts w:ascii="Wingdings" w:hAnsi="Wingdings"/>
                <w:sz w:val="22"/>
                <w:szCs w:val="22"/>
              </w:rPr>
              <w:sym w:font="Wingdings" w:char="F06C"/>
            </w:r>
            <w:r w:rsidRPr="00A25542">
              <w:rPr>
                <w:sz w:val="22"/>
                <w:szCs w:val="22"/>
              </w:rPr>
              <w:t>.</w:t>
            </w:r>
          </w:p>
          <w:p w14:paraId="0AF0D10D" w14:textId="0E8656B9" w:rsidR="00881788" w:rsidRPr="00A25542" w:rsidRDefault="00522C53" w:rsidP="00881788">
            <w:pPr>
              <w:pStyle w:val="OHHTableText"/>
              <w:numPr>
                <w:ilvl w:val="0"/>
                <w:numId w:val="11"/>
              </w:numPr>
              <w:jc w:val="both"/>
              <w:rPr>
                <w:sz w:val="22"/>
                <w:szCs w:val="22"/>
                <w:lang w:val="en-US"/>
              </w:rPr>
            </w:pPr>
            <w:r w:rsidRPr="00A25542">
              <w:rPr>
                <w:sz w:val="22"/>
                <w:szCs w:val="22"/>
                <w:lang w:val="en-US"/>
              </w:rPr>
              <w:t xml:space="preserve">The Preferred Majority will have the right to elect [one] director, to be designated by the Lead Investor. The director will initially be </w:t>
            </w:r>
            <w:r w:rsidRPr="00A25542">
              <w:rPr>
                <w:rFonts w:ascii="Wingdings" w:hAnsi="Wingdings"/>
                <w:sz w:val="22"/>
                <w:szCs w:val="22"/>
              </w:rPr>
              <w:sym w:font="Wingdings" w:char="F06C"/>
            </w:r>
            <w:r w:rsidRPr="00A25542">
              <w:rPr>
                <w:sz w:val="22"/>
                <w:szCs w:val="22"/>
                <w:lang w:val="en-US"/>
              </w:rPr>
              <w:t>.</w:t>
            </w:r>
          </w:p>
        </w:tc>
      </w:tr>
      <w:tr w:rsidR="000831CE" w:rsidRPr="00A25542" w14:paraId="62BEC7E9" w14:textId="77777777" w:rsidTr="00881788">
        <w:tc>
          <w:tcPr>
            <w:tcW w:w="1843" w:type="dxa"/>
          </w:tcPr>
          <w:p w14:paraId="6BC524B3" w14:textId="77777777" w:rsidR="00881788" w:rsidRPr="00A25542" w:rsidRDefault="00522C53" w:rsidP="00881788">
            <w:pPr>
              <w:pStyle w:val="OHHTableText"/>
              <w:rPr>
                <w:b/>
                <w:bCs/>
                <w:sz w:val="22"/>
                <w:szCs w:val="22"/>
                <w:lang w:val="en-US"/>
              </w:rPr>
            </w:pPr>
            <w:r w:rsidRPr="00A25542">
              <w:rPr>
                <w:b/>
                <w:bCs/>
                <w:sz w:val="22"/>
                <w:szCs w:val="22"/>
                <w:lang w:val="en-US"/>
              </w:rPr>
              <w:t>Other Shareholder Agreement Terms:</w:t>
            </w:r>
          </w:p>
        </w:tc>
        <w:tc>
          <w:tcPr>
            <w:tcW w:w="7517" w:type="dxa"/>
          </w:tcPr>
          <w:p w14:paraId="051DC943" w14:textId="77777777" w:rsidR="00881788" w:rsidRPr="00A25542" w:rsidRDefault="00522C53" w:rsidP="00881788">
            <w:pPr>
              <w:pStyle w:val="OHHTableText"/>
              <w:jc w:val="both"/>
              <w:rPr>
                <w:sz w:val="22"/>
                <w:szCs w:val="22"/>
                <w:lang w:val="en-US"/>
              </w:rPr>
            </w:pPr>
            <w:r w:rsidRPr="00A25542">
              <w:rPr>
                <w:sz w:val="22"/>
                <w:szCs w:val="22"/>
                <w:lang w:val="en-US"/>
              </w:rPr>
              <w:t>Customary registration, pre-emptive, information and inspection rights and rights of first refusal and co-sale for any holder of Series Seed Preferred that, together with its affiliates or associates, holds at least such number of Series Seed Preferred to be mutually agreed between the Company and the Lead Investor (a “</w:t>
            </w:r>
            <w:r w:rsidRPr="00A25542">
              <w:rPr>
                <w:b/>
                <w:bCs/>
                <w:sz w:val="22"/>
                <w:szCs w:val="22"/>
                <w:lang w:val="en-US"/>
              </w:rPr>
              <w:t>Major Investor</w:t>
            </w:r>
            <w:r w:rsidRPr="00A25542">
              <w:rPr>
                <w:sz w:val="22"/>
                <w:szCs w:val="22"/>
                <w:lang w:val="en-US"/>
              </w:rPr>
              <w:t>”). All parties will be subject to a drag-along requiring approval of (i) the board of directors, (ii) the Active Common Majority and (iii) the Preferred Majority.</w:t>
            </w:r>
          </w:p>
        </w:tc>
      </w:tr>
      <w:tr w:rsidR="000831CE" w:rsidRPr="00A25542" w14:paraId="0AA29F79" w14:textId="77777777" w:rsidTr="00881788">
        <w:tc>
          <w:tcPr>
            <w:tcW w:w="1843" w:type="dxa"/>
          </w:tcPr>
          <w:p w14:paraId="4C0814CE" w14:textId="77777777" w:rsidR="00881788" w:rsidRPr="00A25542" w:rsidRDefault="00522C53" w:rsidP="00881788">
            <w:pPr>
              <w:pStyle w:val="OHHTableText"/>
              <w:rPr>
                <w:b/>
                <w:bCs/>
                <w:sz w:val="22"/>
                <w:szCs w:val="22"/>
                <w:lang w:val="en-US"/>
              </w:rPr>
            </w:pPr>
            <w:r w:rsidRPr="00A25542">
              <w:rPr>
                <w:b/>
                <w:bCs/>
                <w:sz w:val="22"/>
                <w:szCs w:val="22"/>
                <w:lang w:val="en-US"/>
              </w:rPr>
              <w:t>Documentation and Closing:</w:t>
            </w:r>
          </w:p>
        </w:tc>
        <w:tc>
          <w:tcPr>
            <w:tcW w:w="7517" w:type="dxa"/>
          </w:tcPr>
          <w:p w14:paraId="6D12F089" w14:textId="77777777" w:rsidR="00881788" w:rsidRPr="00A25542" w:rsidRDefault="00522C53" w:rsidP="00881788">
            <w:pPr>
              <w:pStyle w:val="OHHTableText"/>
              <w:jc w:val="both"/>
              <w:rPr>
                <w:sz w:val="22"/>
                <w:szCs w:val="22"/>
                <w:lang w:val="en-US"/>
              </w:rPr>
            </w:pPr>
            <w:r w:rsidRPr="00A25542">
              <w:rPr>
                <w:sz w:val="22"/>
                <w:szCs w:val="22"/>
                <w:lang w:val="en-US"/>
              </w:rPr>
              <w:t xml:space="preserve">The closing of the transaction is expected to occur [as soon as practicable following / within </w:t>
            </w:r>
            <w:r w:rsidRPr="00A25542">
              <w:rPr>
                <w:rFonts w:ascii="Wingdings" w:hAnsi="Wingdings"/>
                <w:sz w:val="22"/>
                <w:szCs w:val="22"/>
              </w:rPr>
              <w:sym w:font="Wingdings" w:char="F06C"/>
            </w:r>
            <w:r w:rsidRPr="00A25542">
              <w:rPr>
                <w:sz w:val="22"/>
                <w:szCs w:val="22"/>
                <w:lang w:val="en-US"/>
              </w:rPr>
              <w:t xml:space="preserve"> days of] acceptance of this Term Sheet and is subject to a satisfactory due diligence review by the Lead Investor and execution of definitive transaction documents based on the Osler Series Seed Financing Templates found at osler.com/seedtemplates. The transaction documents will be drafted by the Company’s counsel.</w:t>
            </w:r>
          </w:p>
        </w:tc>
      </w:tr>
      <w:tr w:rsidR="000831CE" w:rsidRPr="00A25542" w14:paraId="42D5E929" w14:textId="77777777" w:rsidTr="00881788">
        <w:tc>
          <w:tcPr>
            <w:tcW w:w="1843" w:type="dxa"/>
          </w:tcPr>
          <w:p w14:paraId="1BCCA76C" w14:textId="77777777" w:rsidR="00881788" w:rsidRPr="00A25542" w:rsidRDefault="00522C53" w:rsidP="00881788">
            <w:pPr>
              <w:pStyle w:val="OHHTableText"/>
              <w:rPr>
                <w:b/>
                <w:bCs/>
                <w:sz w:val="22"/>
                <w:szCs w:val="22"/>
                <w:lang w:val="en-US"/>
              </w:rPr>
            </w:pPr>
            <w:r w:rsidRPr="00A25542">
              <w:rPr>
                <w:b/>
                <w:bCs/>
                <w:sz w:val="22"/>
                <w:szCs w:val="22"/>
                <w:lang w:val="en-US"/>
              </w:rPr>
              <w:t>Expenses:</w:t>
            </w:r>
          </w:p>
        </w:tc>
        <w:tc>
          <w:tcPr>
            <w:tcW w:w="7517" w:type="dxa"/>
          </w:tcPr>
          <w:p w14:paraId="153F9222" w14:textId="77777777" w:rsidR="00881788" w:rsidRPr="00A25542" w:rsidRDefault="00522C53" w:rsidP="00881788">
            <w:pPr>
              <w:pStyle w:val="OHHTableText"/>
              <w:jc w:val="both"/>
              <w:rPr>
                <w:sz w:val="22"/>
                <w:szCs w:val="22"/>
                <w:lang w:val="en-US"/>
              </w:rPr>
            </w:pPr>
            <w:r w:rsidRPr="00A25542">
              <w:rPr>
                <w:sz w:val="22"/>
                <w:szCs w:val="22"/>
                <w:lang w:val="en-US"/>
              </w:rPr>
              <w:t>The Company will pay the fees of the Lead Investor’s counsel at closing, not to exceed $</w:t>
            </w:r>
            <w:r w:rsidRPr="00A25542">
              <w:rPr>
                <w:rFonts w:ascii="Wingdings" w:hAnsi="Wingdings"/>
                <w:sz w:val="22"/>
                <w:szCs w:val="22"/>
              </w:rPr>
              <w:sym w:font="Wingdings" w:char="F06C"/>
            </w:r>
            <w:r w:rsidRPr="00A25542">
              <w:rPr>
                <w:sz w:val="22"/>
                <w:szCs w:val="22"/>
              </w:rPr>
              <w:t>, plus applicable taxes</w:t>
            </w:r>
            <w:r w:rsidRPr="00A25542">
              <w:rPr>
                <w:sz w:val="22"/>
                <w:szCs w:val="22"/>
                <w:lang w:val="en-US"/>
              </w:rPr>
              <w:t>.</w:t>
            </w:r>
          </w:p>
        </w:tc>
      </w:tr>
      <w:tr w:rsidR="000831CE" w:rsidRPr="00A25542" w14:paraId="340CDD0E" w14:textId="77777777" w:rsidTr="00881788">
        <w:tc>
          <w:tcPr>
            <w:tcW w:w="1843" w:type="dxa"/>
          </w:tcPr>
          <w:p w14:paraId="235E9653" w14:textId="77777777" w:rsidR="00881788" w:rsidRPr="00A25542" w:rsidRDefault="00522C53" w:rsidP="00881788">
            <w:pPr>
              <w:pStyle w:val="OHHTableText"/>
              <w:rPr>
                <w:b/>
                <w:bCs/>
                <w:sz w:val="22"/>
                <w:szCs w:val="22"/>
                <w:lang w:val="en-US"/>
              </w:rPr>
            </w:pPr>
            <w:r w:rsidRPr="00A25542">
              <w:rPr>
                <w:b/>
                <w:bCs/>
                <w:sz w:val="22"/>
                <w:szCs w:val="22"/>
                <w:lang w:val="en-US"/>
              </w:rPr>
              <w:t>Confidentiality:</w:t>
            </w:r>
          </w:p>
        </w:tc>
        <w:tc>
          <w:tcPr>
            <w:tcW w:w="7517" w:type="dxa"/>
          </w:tcPr>
          <w:p w14:paraId="7EB9AC1D" w14:textId="77777777" w:rsidR="00881788" w:rsidRPr="00A25542" w:rsidRDefault="00522C53" w:rsidP="00881788">
            <w:pPr>
              <w:pStyle w:val="OHHTableText"/>
              <w:jc w:val="both"/>
              <w:rPr>
                <w:sz w:val="22"/>
                <w:szCs w:val="22"/>
                <w:lang w:val="en-US"/>
              </w:rPr>
            </w:pPr>
            <w:r w:rsidRPr="00A25542">
              <w:rPr>
                <w:sz w:val="22"/>
                <w:szCs w:val="22"/>
                <w:lang w:val="en-US"/>
              </w:rPr>
              <w:t>The existence of this Term Sheet and the terms set forth herein are confidential and will not be disclosed to any third parties other than the Company’s officers, directors, shareholders, legal advisors and potential Other Investors in this financing.</w:t>
            </w:r>
          </w:p>
        </w:tc>
      </w:tr>
      <w:tr w:rsidR="000831CE" w:rsidRPr="00A25542" w14:paraId="5F0BA5BA" w14:textId="77777777" w:rsidTr="00881788">
        <w:tc>
          <w:tcPr>
            <w:tcW w:w="1843" w:type="dxa"/>
          </w:tcPr>
          <w:p w14:paraId="6C893A20" w14:textId="77777777" w:rsidR="00881788" w:rsidRPr="00A25542" w:rsidRDefault="00522C53" w:rsidP="00881788">
            <w:pPr>
              <w:pStyle w:val="OHHTableText"/>
              <w:rPr>
                <w:b/>
                <w:bCs/>
                <w:sz w:val="22"/>
                <w:szCs w:val="22"/>
                <w:lang w:val="en-US"/>
              </w:rPr>
            </w:pPr>
            <w:r w:rsidRPr="00A25542">
              <w:rPr>
                <w:b/>
                <w:bCs/>
                <w:sz w:val="22"/>
                <w:szCs w:val="22"/>
                <w:lang w:val="en-US"/>
              </w:rPr>
              <w:t>Exclusivity:</w:t>
            </w:r>
          </w:p>
        </w:tc>
        <w:tc>
          <w:tcPr>
            <w:tcW w:w="7517" w:type="dxa"/>
          </w:tcPr>
          <w:p w14:paraId="6787C7DF" w14:textId="77777777" w:rsidR="00881788" w:rsidRPr="00A25542" w:rsidRDefault="00522C53" w:rsidP="00881788">
            <w:pPr>
              <w:pStyle w:val="OHHTableText"/>
              <w:jc w:val="both"/>
              <w:rPr>
                <w:sz w:val="22"/>
                <w:szCs w:val="22"/>
                <w:lang w:val="en-US"/>
              </w:rPr>
            </w:pPr>
            <w:r w:rsidRPr="00A25542">
              <w:rPr>
                <w:sz w:val="22"/>
                <w:szCs w:val="22"/>
                <w:lang w:val="en-US"/>
              </w:rPr>
              <w:t xml:space="preserve">For a period of </w:t>
            </w:r>
            <w:r w:rsidRPr="00A25542">
              <w:rPr>
                <w:rFonts w:ascii="Wingdings" w:hAnsi="Wingdings"/>
                <w:sz w:val="22"/>
                <w:szCs w:val="22"/>
              </w:rPr>
              <w:sym w:font="Wingdings" w:char="F06C"/>
            </w:r>
            <w:r w:rsidRPr="00A25542">
              <w:rPr>
                <w:sz w:val="22"/>
                <w:szCs w:val="22"/>
                <w:lang w:val="en-US"/>
              </w:rPr>
              <w:t xml:space="preserve"> days after execution of this Term Sheet, the Company will not solicit any offers or engage in any discussions regarding any equity investment in the Company other than with prospective Other Investors.</w:t>
            </w:r>
          </w:p>
        </w:tc>
      </w:tr>
      <w:tr w:rsidR="000831CE" w:rsidRPr="00A25542" w14:paraId="4582D611" w14:textId="77777777" w:rsidTr="00881788">
        <w:tc>
          <w:tcPr>
            <w:tcW w:w="1843" w:type="dxa"/>
          </w:tcPr>
          <w:p w14:paraId="5CE1CA1A" w14:textId="77777777" w:rsidR="00881788" w:rsidRPr="00A25542" w:rsidRDefault="00522C53" w:rsidP="00530ECB">
            <w:pPr>
              <w:pStyle w:val="OHHTableText"/>
              <w:keepNext/>
              <w:keepLines/>
              <w:rPr>
                <w:b/>
                <w:bCs/>
                <w:sz w:val="22"/>
                <w:szCs w:val="22"/>
                <w:lang w:val="en-US"/>
              </w:rPr>
            </w:pPr>
            <w:r w:rsidRPr="00A25542">
              <w:rPr>
                <w:b/>
                <w:bCs/>
                <w:sz w:val="22"/>
                <w:szCs w:val="22"/>
                <w:lang w:val="en-US"/>
              </w:rPr>
              <w:t>Governing Law:</w:t>
            </w:r>
          </w:p>
        </w:tc>
        <w:tc>
          <w:tcPr>
            <w:tcW w:w="7517" w:type="dxa"/>
          </w:tcPr>
          <w:p w14:paraId="5D13391C" w14:textId="77777777" w:rsidR="00881788" w:rsidRPr="00A25542" w:rsidRDefault="00522C53" w:rsidP="00530ECB">
            <w:pPr>
              <w:pStyle w:val="OHHTableText"/>
              <w:keepNext/>
              <w:keepLines/>
              <w:jc w:val="both"/>
              <w:rPr>
                <w:sz w:val="22"/>
                <w:szCs w:val="22"/>
                <w:lang w:val="en-US"/>
              </w:rPr>
            </w:pPr>
            <w:r w:rsidRPr="00A25542">
              <w:rPr>
                <w:sz w:val="22"/>
                <w:szCs w:val="22"/>
                <w:lang w:val="en-US"/>
              </w:rPr>
              <w:t xml:space="preserve">This Term Sheet will be governed by the laws of the </w:t>
            </w:r>
            <w:proofErr w:type="gramStart"/>
            <w:r w:rsidRPr="00A25542">
              <w:rPr>
                <w:sz w:val="22"/>
                <w:szCs w:val="22"/>
                <w:lang w:val="en-US"/>
              </w:rPr>
              <w:t>Province</w:t>
            </w:r>
            <w:proofErr w:type="gramEnd"/>
            <w:r w:rsidRPr="00A25542">
              <w:rPr>
                <w:sz w:val="22"/>
                <w:szCs w:val="22"/>
                <w:lang w:val="en-US"/>
              </w:rPr>
              <w:t xml:space="preserve"> of [Province] and the laws of Canada applicable therein.</w:t>
            </w:r>
          </w:p>
        </w:tc>
      </w:tr>
    </w:tbl>
    <w:p w14:paraId="741F0A01" w14:textId="77777777" w:rsidR="00530ECB" w:rsidRPr="00A25542" w:rsidRDefault="00530ECB" w:rsidP="00530ECB">
      <w:pPr>
        <w:pStyle w:val="OHHpara"/>
        <w:rPr>
          <w:sz w:val="22"/>
          <w:szCs w:val="22"/>
        </w:rPr>
      </w:pPr>
    </w:p>
    <w:tbl>
      <w:tblPr>
        <w:tblW w:w="9558" w:type="dxa"/>
        <w:tblInd w:w="-115" w:type="dxa"/>
        <w:tblLayout w:type="fixed"/>
        <w:tblLook w:val="0000" w:firstRow="0" w:lastRow="0" w:firstColumn="0" w:lastColumn="0" w:noHBand="0" w:noVBand="0"/>
      </w:tblPr>
      <w:tblGrid>
        <w:gridCol w:w="738"/>
        <w:gridCol w:w="3510"/>
        <w:gridCol w:w="450"/>
        <w:gridCol w:w="817"/>
        <w:gridCol w:w="4043"/>
      </w:tblGrid>
      <w:tr w:rsidR="000831CE" w:rsidRPr="00A25542" w14:paraId="1C6256B2" w14:textId="77777777" w:rsidTr="005365A2">
        <w:trPr>
          <w:cantSplit/>
        </w:trPr>
        <w:tc>
          <w:tcPr>
            <w:tcW w:w="4248" w:type="dxa"/>
            <w:gridSpan w:val="2"/>
            <w:vAlign w:val="bottom"/>
          </w:tcPr>
          <w:p w14:paraId="465EFA1B" w14:textId="379DD67E" w:rsidR="00520C19" w:rsidRPr="00A25542" w:rsidRDefault="00522C53" w:rsidP="00520C19">
            <w:pPr>
              <w:pStyle w:val="SigningLine"/>
              <w:keepNext w:val="0"/>
              <w:keepLines w:val="0"/>
              <w:jc w:val="left"/>
              <w:rPr>
                <w:sz w:val="22"/>
                <w:szCs w:val="22"/>
              </w:rPr>
            </w:pPr>
            <w:r w:rsidRPr="00A25542">
              <w:rPr>
                <w:b/>
                <w:bCs/>
                <w:sz w:val="22"/>
                <w:szCs w:val="22"/>
              </w:rPr>
              <w:t>[COMPANY NAME]</w:t>
            </w:r>
          </w:p>
        </w:tc>
        <w:tc>
          <w:tcPr>
            <w:tcW w:w="450" w:type="dxa"/>
            <w:vMerge w:val="restart"/>
          </w:tcPr>
          <w:p w14:paraId="44ADB493" w14:textId="77777777" w:rsidR="00520C19" w:rsidRPr="00A25542" w:rsidRDefault="00520C19" w:rsidP="00520C19">
            <w:pPr>
              <w:pStyle w:val="SigningLine"/>
              <w:keepNext w:val="0"/>
              <w:keepLines w:val="0"/>
              <w:jc w:val="left"/>
              <w:rPr>
                <w:sz w:val="22"/>
                <w:szCs w:val="22"/>
              </w:rPr>
            </w:pPr>
          </w:p>
        </w:tc>
        <w:tc>
          <w:tcPr>
            <w:tcW w:w="4860" w:type="dxa"/>
            <w:gridSpan w:val="2"/>
            <w:tcBorders>
              <w:bottom w:val="nil"/>
            </w:tcBorders>
            <w:vAlign w:val="bottom"/>
          </w:tcPr>
          <w:p w14:paraId="56F55247" w14:textId="3D3A8347" w:rsidR="00520C19" w:rsidRPr="00A25542" w:rsidRDefault="00522C53" w:rsidP="00520C19">
            <w:pPr>
              <w:pStyle w:val="SigningLine"/>
              <w:keepNext w:val="0"/>
              <w:keepLines w:val="0"/>
              <w:jc w:val="left"/>
              <w:rPr>
                <w:sz w:val="22"/>
                <w:szCs w:val="22"/>
              </w:rPr>
            </w:pPr>
            <w:r w:rsidRPr="00A25542">
              <w:rPr>
                <w:b/>
                <w:bCs/>
                <w:sz w:val="22"/>
                <w:szCs w:val="22"/>
              </w:rPr>
              <w:t>[LEAD INVESTOR NAME]</w:t>
            </w:r>
          </w:p>
        </w:tc>
      </w:tr>
      <w:tr w:rsidR="000831CE" w:rsidRPr="00A25542" w14:paraId="3E14861D" w14:textId="77777777" w:rsidTr="00881788">
        <w:trPr>
          <w:cantSplit/>
          <w:trHeight w:val="720"/>
        </w:trPr>
        <w:tc>
          <w:tcPr>
            <w:tcW w:w="738" w:type="dxa"/>
            <w:vAlign w:val="bottom"/>
          </w:tcPr>
          <w:p w14:paraId="03A4A988" w14:textId="77777777" w:rsidR="00881788" w:rsidRPr="00A25542" w:rsidRDefault="00522C53" w:rsidP="00881788">
            <w:pPr>
              <w:pStyle w:val="SigningLine"/>
              <w:keepNext w:val="0"/>
              <w:keepLines w:val="0"/>
              <w:jc w:val="left"/>
              <w:rPr>
                <w:sz w:val="22"/>
                <w:szCs w:val="22"/>
              </w:rPr>
            </w:pPr>
            <w:r w:rsidRPr="00A25542">
              <w:rPr>
                <w:sz w:val="22"/>
                <w:szCs w:val="22"/>
              </w:rPr>
              <w:t>By:</w:t>
            </w:r>
          </w:p>
        </w:tc>
        <w:tc>
          <w:tcPr>
            <w:tcW w:w="3510" w:type="dxa"/>
            <w:vAlign w:val="bottom"/>
          </w:tcPr>
          <w:p w14:paraId="5F088917" w14:textId="77777777" w:rsidR="00881788" w:rsidRPr="00A25542" w:rsidRDefault="00881788" w:rsidP="00D665CF">
            <w:pPr>
              <w:pStyle w:val="SigningLine"/>
              <w:keepNext w:val="0"/>
              <w:keepLines w:val="0"/>
              <w:jc w:val="left"/>
              <w:rPr>
                <w:sz w:val="22"/>
                <w:szCs w:val="22"/>
              </w:rPr>
            </w:pPr>
          </w:p>
        </w:tc>
        <w:tc>
          <w:tcPr>
            <w:tcW w:w="450" w:type="dxa"/>
            <w:vMerge/>
          </w:tcPr>
          <w:p w14:paraId="65802A85" w14:textId="77777777" w:rsidR="00881788" w:rsidRPr="00A25542" w:rsidRDefault="00881788">
            <w:pPr>
              <w:pStyle w:val="SigningLine"/>
              <w:keepNext w:val="0"/>
              <w:keepLines w:val="0"/>
              <w:jc w:val="left"/>
              <w:rPr>
                <w:sz w:val="22"/>
                <w:szCs w:val="22"/>
              </w:rPr>
            </w:pPr>
          </w:p>
        </w:tc>
        <w:tc>
          <w:tcPr>
            <w:tcW w:w="817" w:type="dxa"/>
            <w:vAlign w:val="bottom"/>
          </w:tcPr>
          <w:p w14:paraId="00EC1121" w14:textId="77777777" w:rsidR="00881788" w:rsidRPr="00A25542" w:rsidRDefault="00522C53" w:rsidP="00881788">
            <w:pPr>
              <w:pStyle w:val="SigningLine"/>
              <w:keepNext w:val="0"/>
              <w:keepLines w:val="0"/>
              <w:jc w:val="left"/>
              <w:rPr>
                <w:sz w:val="22"/>
                <w:szCs w:val="22"/>
              </w:rPr>
            </w:pPr>
            <w:r w:rsidRPr="00A25542">
              <w:rPr>
                <w:sz w:val="22"/>
                <w:szCs w:val="22"/>
              </w:rPr>
              <w:t>By:</w:t>
            </w:r>
          </w:p>
        </w:tc>
        <w:tc>
          <w:tcPr>
            <w:tcW w:w="4043" w:type="dxa"/>
            <w:tcBorders>
              <w:bottom w:val="single" w:sz="4" w:space="0" w:color="auto"/>
            </w:tcBorders>
            <w:vAlign w:val="bottom"/>
          </w:tcPr>
          <w:p w14:paraId="7B59C62C" w14:textId="77777777" w:rsidR="00881788" w:rsidRPr="00A25542" w:rsidRDefault="00881788" w:rsidP="00D665CF">
            <w:pPr>
              <w:pStyle w:val="SigningLine"/>
              <w:keepNext w:val="0"/>
              <w:keepLines w:val="0"/>
              <w:jc w:val="left"/>
              <w:rPr>
                <w:sz w:val="22"/>
                <w:szCs w:val="22"/>
              </w:rPr>
            </w:pPr>
          </w:p>
        </w:tc>
      </w:tr>
      <w:tr w:rsidR="000831CE" w:rsidRPr="00A25542" w14:paraId="723AA25E" w14:textId="77777777" w:rsidTr="00881788">
        <w:trPr>
          <w:cantSplit/>
          <w:trHeight w:val="288"/>
        </w:trPr>
        <w:tc>
          <w:tcPr>
            <w:tcW w:w="738" w:type="dxa"/>
          </w:tcPr>
          <w:p w14:paraId="3469DCC7" w14:textId="77777777" w:rsidR="00881788" w:rsidRPr="00A25542" w:rsidRDefault="00881788" w:rsidP="00881788">
            <w:pPr>
              <w:pStyle w:val="SigningLine"/>
              <w:keepNext w:val="0"/>
              <w:keepLines w:val="0"/>
              <w:jc w:val="left"/>
              <w:rPr>
                <w:sz w:val="22"/>
                <w:szCs w:val="22"/>
              </w:rPr>
            </w:pPr>
          </w:p>
        </w:tc>
        <w:tc>
          <w:tcPr>
            <w:tcW w:w="3510" w:type="dxa"/>
            <w:tcBorders>
              <w:top w:val="single" w:sz="4" w:space="0" w:color="auto"/>
            </w:tcBorders>
          </w:tcPr>
          <w:p w14:paraId="5C479AC1" w14:textId="2F947B70" w:rsidR="00881788" w:rsidRPr="00A25542" w:rsidRDefault="00522C53">
            <w:pPr>
              <w:pStyle w:val="SigningLine"/>
              <w:keepNext w:val="0"/>
              <w:keepLines w:val="0"/>
              <w:jc w:val="left"/>
              <w:rPr>
                <w:sz w:val="22"/>
                <w:szCs w:val="22"/>
              </w:rPr>
            </w:pPr>
            <w:r w:rsidRPr="00A25542">
              <w:rPr>
                <w:sz w:val="22"/>
                <w:szCs w:val="22"/>
              </w:rPr>
              <w:t xml:space="preserve">Name: </w:t>
            </w:r>
          </w:p>
        </w:tc>
        <w:tc>
          <w:tcPr>
            <w:tcW w:w="450" w:type="dxa"/>
            <w:vMerge/>
          </w:tcPr>
          <w:p w14:paraId="4208BD7F" w14:textId="77777777" w:rsidR="00881788" w:rsidRPr="00A25542" w:rsidRDefault="00881788">
            <w:pPr>
              <w:pStyle w:val="SigningLine"/>
              <w:keepNext w:val="0"/>
              <w:keepLines w:val="0"/>
              <w:jc w:val="left"/>
              <w:rPr>
                <w:sz w:val="22"/>
                <w:szCs w:val="22"/>
              </w:rPr>
            </w:pPr>
          </w:p>
        </w:tc>
        <w:tc>
          <w:tcPr>
            <w:tcW w:w="817" w:type="dxa"/>
          </w:tcPr>
          <w:p w14:paraId="645A93BE" w14:textId="77777777" w:rsidR="00881788" w:rsidRPr="00A25542" w:rsidRDefault="00881788">
            <w:pPr>
              <w:pStyle w:val="SigningLine"/>
              <w:keepNext w:val="0"/>
              <w:keepLines w:val="0"/>
              <w:jc w:val="left"/>
              <w:rPr>
                <w:sz w:val="22"/>
                <w:szCs w:val="22"/>
              </w:rPr>
            </w:pPr>
          </w:p>
        </w:tc>
        <w:tc>
          <w:tcPr>
            <w:tcW w:w="4043" w:type="dxa"/>
          </w:tcPr>
          <w:p w14:paraId="01E2BB5D" w14:textId="4F6E56BC" w:rsidR="00881788" w:rsidRPr="00A25542" w:rsidRDefault="00522C53">
            <w:pPr>
              <w:pStyle w:val="SigningLine"/>
              <w:keepNext w:val="0"/>
              <w:keepLines w:val="0"/>
              <w:jc w:val="left"/>
              <w:rPr>
                <w:sz w:val="22"/>
                <w:szCs w:val="22"/>
              </w:rPr>
            </w:pPr>
            <w:r w:rsidRPr="00A25542">
              <w:rPr>
                <w:sz w:val="22"/>
                <w:szCs w:val="22"/>
              </w:rPr>
              <w:t xml:space="preserve">Name: </w:t>
            </w:r>
          </w:p>
        </w:tc>
      </w:tr>
      <w:tr w:rsidR="000831CE" w:rsidRPr="00A25542" w14:paraId="1C806848" w14:textId="77777777" w:rsidTr="00881788">
        <w:trPr>
          <w:cantSplit/>
          <w:trHeight w:val="288"/>
        </w:trPr>
        <w:tc>
          <w:tcPr>
            <w:tcW w:w="738" w:type="dxa"/>
          </w:tcPr>
          <w:p w14:paraId="4E73EA35" w14:textId="77777777" w:rsidR="00881788" w:rsidRPr="00A25542" w:rsidRDefault="00881788" w:rsidP="00881788">
            <w:pPr>
              <w:pStyle w:val="SigningLine"/>
              <w:keepNext w:val="0"/>
              <w:keepLines w:val="0"/>
              <w:jc w:val="left"/>
              <w:rPr>
                <w:sz w:val="22"/>
                <w:szCs w:val="22"/>
              </w:rPr>
            </w:pPr>
          </w:p>
        </w:tc>
        <w:tc>
          <w:tcPr>
            <w:tcW w:w="3510" w:type="dxa"/>
          </w:tcPr>
          <w:p w14:paraId="4FECDFF9" w14:textId="10B264F4" w:rsidR="00881788" w:rsidRPr="00A25542" w:rsidRDefault="00522C53">
            <w:pPr>
              <w:pStyle w:val="SigningLine"/>
              <w:keepNext w:val="0"/>
              <w:keepLines w:val="0"/>
              <w:jc w:val="left"/>
              <w:rPr>
                <w:sz w:val="22"/>
                <w:szCs w:val="22"/>
              </w:rPr>
            </w:pPr>
            <w:r w:rsidRPr="00A25542">
              <w:rPr>
                <w:sz w:val="22"/>
                <w:szCs w:val="22"/>
              </w:rPr>
              <w:t xml:space="preserve">Title: </w:t>
            </w:r>
          </w:p>
        </w:tc>
        <w:tc>
          <w:tcPr>
            <w:tcW w:w="450" w:type="dxa"/>
            <w:vMerge/>
          </w:tcPr>
          <w:p w14:paraId="4D5942CD" w14:textId="77777777" w:rsidR="00881788" w:rsidRPr="00A25542" w:rsidRDefault="00881788">
            <w:pPr>
              <w:pStyle w:val="SigningLine"/>
              <w:keepNext w:val="0"/>
              <w:keepLines w:val="0"/>
              <w:jc w:val="left"/>
              <w:rPr>
                <w:sz w:val="22"/>
                <w:szCs w:val="22"/>
              </w:rPr>
            </w:pPr>
          </w:p>
        </w:tc>
        <w:tc>
          <w:tcPr>
            <w:tcW w:w="817" w:type="dxa"/>
          </w:tcPr>
          <w:p w14:paraId="74648929" w14:textId="77777777" w:rsidR="00881788" w:rsidRPr="00A25542" w:rsidRDefault="00881788">
            <w:pPr>
              <w:pStyle w:val="SigningLine"/>
              <w:keepNext w:val="0"/>
              <w:keepLines w:val="0"/>
              <w:jc w:val="left"/>
              <w:rPr>
                <w:sz w:val="22"/>
                <w:szCs w:val="22"/>
              </w:rPr>
            </w:pPr>
          </w:p>
        </w:tc>
        <w:tc>
          <w:tcPr>
            <w:tcW w:w="4043" w:type="dxa"/>
          </w:tcPr>
          <w:p w14:paraId="4FEEF02A" w14:textId="1EED3BCB" w:rsidR="00881788" w:rsidRPr="00A25542" w:rsidRDefault="00522C53">
            <w:pPr>
              <w:pStyle w:val="SigningLine"/>
              <w:keepNext w:val="0"/>
              <w:keepLines w:val="0"/>
              <w:jc w:val="left"/>
              <w:rPr>
                <w:sz w:val="22"/>
                <w:szCs w:val="22"/>
              </w:rPr>
            </w:pPr>
            <w:r w:rsidRPr="00A25542">
              <w:rPr>
                <w:sz w:val="22"/>
                <w:szCs w:val="22"/>
              </w:rPr>
              <w:t xml:space="preserve">Title: </w:t>
            </w:r>
          </w:p>
        </w:tc>
      </w:tr>
      <w:tr w:rsidR="000831CE" w:rsidRPr="00A25542" w14:paraId="1960E65D" w14:textId="77777777" w:rsidTr="00881788">
        <w:trPr>
          <w:cantSplit/>
          <w:trHeight w:val="288"/>
        </w:trPr>
        <w:tc>
          <w:tcPr>
            <w:tcW w:w="738" w:type="dxa"/>
          </w:tcPr>
          <w:p w14:paraId="1BAC8F3F" w14:textId="3BF06774" w:rsidR="00881788" w:rsidRPr="00A25542" w:rsidRDefault="00522C53" w:rsidP="00881788">
            <w:pPr>
              <w:pStyle w:val="SigningLine"/>
              <w:keepNext w:val="0"/>
              <w:keepLines w:val="0"/>
              <w:jc w:val="left"/>
              <w:rPr>
                <w:sz w:val="22"/>
                <w:szCs w:val="22"/>
              </w:rPr>
            </w:pPr>
            <w:r w:rsidRPr="00A25542">
              <w:rPr>
                <w:sz w:val="22"/>
                <w:szCs w:val="22"/>
              </w:rPr>
              <w:t>Date:</w:t>
            </w:r>
          </w:p>
        </w:tc>
        <w:tc>
          <w:tcPr>
            <w:tcW w:w="3510" w:type="dxa"/>
            <w:tcBorders>
              <w:bottom w:val="single" w:sz="4" w:space="0" w:color="auto"/>
            </w:tcBorders>
          </w:tcPr>
          <w:p w14:paraId="46002FDD" w14:textId="77777777" w:rsidR="00881788" w:rsidRPr="00A25542" w:rsidRDefault="00881788">
            <w:pPr>
              <w:pStyle w:val="SigningLine"/>
              <w:keepNext w:val="0"/>
              <w:keepLines w:val="0"/>
              <w:jc w:val="left"/>
              <w:rPr>
                <w:sz w:val="22"/>
                <w:szCs w:val="22"/>
              </w:rPr>
            </w:pPr>
          </w:p>
        </w:tc>
        <w:tc>
          <w:tcPr>
            <w:tcW w:w="450" w:type="dxa"/>
          </w:tcPr>
          <w:p w14:paraId="1039122C" w14:textId="77777777" w:rsidR="00881788" w:rsidRPr="00A25542" w:rsidRDefault="00881788">
            <w:pPr>
              <w:pStyle w:val="SigningLine"/>
              <w:keepNext w:val="0"/>
              <w:keepLines w:val="0"/>
              <w:jc w:val="left"/>
              <w:rPr>
                <w:sz w:val="22"/>
                <w:szCs w:val="22"/>
              </w:rPr>
            </w:pPr>
          </w:p>
        </w:tc>
        <w:tc>
          <w:tcPr>
            <w:tcW w:w="817" w:type="dxa"/>
          </w:tcPr>
          <w:p w14:paraId="787AD023" w14:textId="5DD20B8E" w:rsidR="00881788" w:rsidRPr="00A25542" w:rsidRDefault="00522C53" w:rsidP="00881788">
            <w:pPr>
              <w:pStyle w:val="SigningLine"/>
              <w:keepNext w:val="0"/>
              <w:keepLines w:val="0"/>
              <w:jc w:val="left"/>
              <w:rPr>
                <w:sz w:val="22"/>
                <w:szCs w:val="22"/>
              </w:rPr>
            </w:pPr>
            <w:r w:rsidRPr="00A25542">
              <w:rPr>
                <w:sz w:val="22"/>
                <w:szCs w:val="22"/>
              </w:rPr>
              <w:t>Date:</w:t>
            </w:r>
          </w:p>
        </w:tc>
        <w:tc>
          <w:tcPr>
            <w:tcW w:w="4043" w:type="dxa"/>
            <w:tcBorders>
              <w:bottom w:val="single" w:sz="4" w:space="0" w:color="auto"/>
            </w:tcBorders>
          </w:tcPr>
          <w:p w14:paraId="1A8FCAB9" w14:textId="77777777" w:rsidR="00881788" w:rsidRPr="00A25542" w:rsidRDefault="00881788">
            <w:pPr>
              <w:pStyle w:val="SigningLine"/>
              <w:keepNext w:val="0"/>
              <w:keepLines w:val="0"/>
              <w:jc w:val="left"/>
              <w:rPr>
                <w:sz w:val="22"/>
                <w:szCs w:val="22"/>
              </w:rPr>
            </w:pPr>
          </w:p>
        </w:tc>
      </w:tr>
    </w:tbl>
    <w:p w14:paraId="2EDEA0FF" w14:textId="2855D5B1" w:rsidR="00881788" w:rsidRPr="00A25542" w:rsidRDefault="00881788" w:rsidP="00881788">
      <w:pPr>
        <w:pStyle w:val="OHHpara"/>
        <w:rPr>
          <w:sz w:val="22"/>
          <w:szCs w:val="22"/>
        </w:rPr>
      </w:pPr>
    </w:p>
    <w:p w14:paraId="19AA3A8B" w14:textId="77777777" w:rsidR="007400E0" w:rsidRDefault="007400E0" w:rsidP="00185B92">
      <w:pPr>
        <w:pStyle w:val="OHHpara"/>
        <w:rPr>
          <w:sz w:val="22"/>
          <w:szCs w:val="22"/>
        </w:rPr>
        <w:sectPr w:rsidR="007400E0">
          <w:headerReference w:type="even" r:id="rId8"/>
          <w:headerReference w:type="default" r:id="rId9"/>
          <w:footerReference w:type="default" r:id="rId10"/>
          <w:footerReference w:type="first" r:id="rId11"/>
          <w:pgSz w:w="12240" w:h="15840"/>
          <w:pgMar w:top="1440" w:right="1440" w:bottom="1008" w:left="1440" w:header="706" w:footer="706" w:gutter="0"/>
          <w:cols w:space="720"/>
          <w:titlePg/>
          <w:docGrid w:linePitch="360"/>
        </w:sectPr>
      </w:pPr>
    </w:p>
    <w:p w14:paraId="3D28CDC3" w14:textId="77777777" w:rsidR="000C5A46" w:rsidRPr="00A25542" w:rsidRDefault="000C5A46" w:rsidP="00185B92">
      <w:pPr>
        <w:pStyle w:val="OHHpara"/>
        <w:rPr>
          <w:sz w:val="22"/>
          <w:szCs w:val="22"/>
        </w:rPr>
      </w:pPr>
    </w:p>
    <w:sectPr w:rsidR="000C5A46" w:rsidRPr="00A25542" w:rsidSect="007400E0">
      <w:type w:val="continuous"/>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3A79" w14:textId="77777777" w:rsidR="00291FA3" w:rsidRDefault="00291FA3">
      <w:r>
        <w:separator/>
      </w:r>
    </w:p>
  </w:endnote>
  <w:endnote w:type="continuationSeparator" w:id="0">
    <w:p w14:paraId="2150ABC9" w14:textId="77777777" w:rsidR="00291FA3" w:rsidRDefault="0029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5127" w14:textId="77777777" w:rsidR="007400E0" w:rsidRPr="00006F12" w:rsidRDefault="007400E0" w:rsidP="007400E0">
    <w:pPr>
      <w:pStyle w:val="OHHpara"/>
      <w:spacing w:after="60"/>
      <w:rPr>
        <w:rFonts w:eastAsia="Calibri"/>
        <w:w w:val="0"/>
        <w:sz w:val="15"/>
        <w:szCs w:val="15"/>
        <w:lang w:val="en-US"/>
      </w:rPr>
    </w:pPr>
    <w:bookmarkStart w:id="0" w:name="_Hlk220503964"/>
    <w:r w:rsidRPr="00006F12">
      <w:rPr>
        <w:rFonts w:eastAsia="Calibri"/>
        <w:w w:val="0"/>
        <w:sz w:val="15"/>
        <w:szCs w:val="15"/>
        <w:lang w:val="en-US"/>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436FF040" w14:textId="77777777" w:rsidR="007400E0" w:rsidRPr="00006F12" w:rsidRDefault="007400E0" w:rsidP="007400E0">
    <w:pPr>
      <w:pStyle w:val="OHHpara"/>
      <w:spacing w:after="60"/>
      <w:rPr>
        <w:rFonts w:eastAsia="Calibri"/>
        <w:w w:val="0"/>
        <w:sz w:val="15"/>
        <w:szCs w:val="15"/>
        <w:lang w:val="en-US"/>
      </w:rPr>
    </w:pPr>
    <w:r w:rsidRPr="00006F12">
      <w:rPr>
        <w:rFonts w:eastAsia="Calibri"/>
        <w:w w:val="0"/>
        <w:sz w:val="15"/>
        <w:szCs w:val="15"/>
        <w:lang w:val="en-US"/>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w:t>
    </w:r>
    <w:r w:rsidRPr="00006F12">
      <w:rPr>
        <w:rFonts w:eastAsia="Calibri"/>
        <w:w w:val="0"/>
        <w:sz w:val="15"/>
        <w:szCs w:val="15"/>
        <w:lang w:val="en-US"/>
      </w:rPr>
      <w:noBreakHyphen/>
      <w:t>client relationship.  Please consult one of the lawyers at Osler, Hoskin &amp; Harcourt LLP (or your own legal counsel) for specific recommendations.</w:t>
    </w:r>
  </w:p>
  <w:p w14:paraId="75A58C75" w14:textId="7C52FAC7" w:rsidR="00581A8E" w:rsidRPr="007400E0" w:rsidRDefault="007400E0" w:rsidP="007400E0">
    <w:pPr>
      <w:pStyle w:val="OHHpara"/>
      <w:spacing w:after="60"/>
      <w:rPr>
        <w:rFonts w:eastAsia="Calibri"/>
        <w:w w:val="0"/>
        <w:sz w:val="15"/>
        <w:szCs w:val="15"/>
        <w:lang w:val="en-US"/>
      </w:rPr>
    </w:pPr>
    <w:r w:rsidRPr="00006F12">
      <w:rPr>
        <w:rFonts w:eastAsia="Calibri"/>
        <w:w w:val="0"/>
        <w:sz w:val="15"/>
        <w:szCs w:val="15"/>
        <w:lang w:val="en-US"/>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B43B" w14:textId="46109714" w:rsidR="00581A8E" w:rsidRPr="007400E0" w:rsidRDefault="007400E0" w:rsidP="007400E0">
    <w:pPr>
      <w:pStyle w:val="Footer"/>
      <w:rPr>
        <w:b/>
        <w:bCs/>
        <w:sz w:val="16"/>
        <w:szCs w:val="16"/>
      </w:rPr>
    </w:pPr>
    <w:bookmarkStart w:id="1" w:name="_Hlk220504032"/>
    <w:bookmarkStart w:id="2" w:name="_Hlk220504033"/>
    <w:r w:rsidRPr="00FC5FE7">
      <w:rPr>
        <w:b/>
        <w:bCs/>
        <w:sz w:val="16"/>
        <w:szCs w:val="16"/>
      </w:rPr>
      <w:t>© 202</w:t>
    </w:r>
    <w:r w:rsidR="00815485">
      <w:rPr>
        <w:b/>
        <w:bCs/>
        <w:sz w:val="16"/>
        <w:szCs w:val="16"/>
      </w:rPr>
      <w:t>6</w:t>
    </w:r>
    <w:r w:rsidRPr="00FC5FE7">
      <w:rPr>
        <w:b/>
        <w:bCs/>
        <w:sz w:val="16"/>
        <w:szCs w:val="16"/>
      </w:rPr>
      <w:t xml:space="preserve"> Osler, Hoskin</w:t>
    </w:r>
    <w:r w:rsidR="0016273E">
      <w:rPr>
        <w:b/>
        <w:bCs/>
        <w:sz w:val="16"/>
        <w:szCs w:val="16"/>
      </w:rPr>
      <w:t xml:space="preserve"> </w:t>
    </w:r>
    <w:r w:rsidRPr="00FC5FE7">
      <w:rPr>
        <w:b/>
        <w:bCs/>
        <w:sz w:val="16"/>
        <w:szCs w:val="16"/>
      </w:rPr>
      <w:t>&amp; Harcourt LLP</w:t>
    </w:r>
    <w:r>
      <w:rPr>
        <w:b/>
        <w:bCs/>
        <w:sz w:val="16"/>
        <w:szCs w:val="16"/>
      </w:rPr>
      <w:t xml:space="preserve">. </w:t>
    </w:r>
    <w:r w:rsidRPr="00F528D4">
      <w:rPr>
        <w:b/>
        <w:bCs/>
        <w:sz w:val="16"/>
        <w:szCs w:val="16"/>
      </w:rPr>
      <w:t xml:space="preserve">This template forms part of the Osler Series Seed Financing Template set, available for download </w:t>
    </w:r>
    <w:r w:rsidRPr="009234FF">
      <w:rPr>
        <w:b/>
        <w:bCs/>
        <w:sz w:val="16"/>
        <w:szCs w:val="16"/>
      </w:rPr>
      <w:t>at:</w:t>
    </w:r>
    <w:r w:rsidRPr="009234FF">
      <w:t xml:space="preserve"> </w:t>
    </w:r>
    <w:hyperlink r:id="rId1" w:history="1">
      <w:r w:rsidRPr="009234FF">
        <w:rPr>
          <w:rStyle w:val="Hyperlink"/>
          <w:b/>
          <w:bCs/>
          <w:sz w:val="16"/>
          <w:szCs w:val="16"/>
        </w:rPr>
        <w:t>osler.com/</w:t>
      </w:r>
      <w:proofErr w:type="spellStart"/>
      <w:r w:rsidRPr="009234FF">
        <w:rPr>
          <w:rStyle w:val="Hyperlink"/>
          <w:b/>
          <w:bCs/>
          <w:sz w:val="16"/>
          <w:szCs w:val="16"/>
        </w:rPr>
        <w:t>seedtemplates</w:t>
      </w:r>
      <w:proofErr w:type="spellEnd"/>
    </w:hyperlink>
    <w: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B957" w14:textId="77777777" w:rsidR="00291FA3" w:rsidRDefault="00291FA3">
      <w:r>
        <w:separator/>
      </w:r>
    </w:p>
  </w:footnote>
  <w:footnote w:type="continuationSeparator" w:id="0">
    <w:p w14:paraId="1A52A655" w14:textId="77777777" w:rsidR="00291FA3" w:rsidRDefault="0029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D43" w14:textId="77777777" w:rsidR="000F48E6" w:rsidRDefault="000F48E6">
    <w:pPr>
      <w:pStyle w:val="Header"/>
    </w:pPr>
  </w:p>
  <w:p w14:paraId="461433F5"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2AC0" w14:textId="77777777" w:rsidR="000F48E6" w:rsidRDefault="00522C53">
    <w:pPr>
      <w:pStyle w:val="Head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DC0033">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20067"/>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20881"/>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573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48899"/>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67581"/>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33165"/>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77295"/>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69557"/>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51971"/>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69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9C5379"/>
    <w:multiLevelType w:val="hybridMultilevel"/>
    <w:tmpl w:val="3992E7A6"/>
    <w:name w:val="UnnamedList56597"/>
    <w:lvl w:ilvl="0" w:tplc="2892B046">
      <w:start w:val="1"/>
      <w:numFmt w:val="lowerRoman"/>
      <w:lvlText w:val="(%1)"/>
      <w:lvlJc w:val="left"/>
      <w:pPr>
        <w:ind w:left="1080" w:hanging="720"/>
      </w:pPr>
      <w:rPr>
        <w:rFonts w:hint="default"/>
      </w:rPr>
    </w:lvl>
    <w:lvl w:ilvl="1" w:tplc="207A66DE" w:tentative="1">
      <w:start w:val="1"/>
      <w:numFmt w:val="lowerLetter"/>
      <w:lvlText w:val="%2."/>
      <w:lvlJc w:val="left"/>
      <w:pPr>
        <w:ind w:left="1440" w:hanging="360"/>
      </w:pPr>
    </w:lvl>
    <w:lvl w:ilvl="2" w:tplc="D69CD7B4" w:tentative="1">
      <w:start w:val="1"/>
      <w:numFmt w:val="lowerRoman"/>
      <w:lvlText w:val="%3."/>
      <w:lvlJc w:val="right"/>
      <w:pPr>
        <w:ind w:left="2160" w:hanging="180"/>
      </w:pPr>
    </w:lvl>
    <w:lvl w:ilvl="3" w:tplc="98FC62E4" w:tentative="1">
      <w:start w:val="1"/>
      <w:numFmt w:val="decimal"/>
      <w:lvlText w:val="%4."/>
      <w:lvlJc w:val="left"/>
      <w:pPr>
        <w:ind w:left="2880" w:hanging="360"/>
      </w:pPr>
    </w:lvl>
    <w:lvl w:ilvl="4" w:tplc="2F2273DE" w:tentative="1">
      <w:start w:val="1"/>
      <w:numFmt w:val="lowerLetter"/>
      <w:lvlText w:val="%5."/>
      <w:lvlJc w:val="left"/>
      <w:pPr>
        <w:ind w:left="3600" w:hanging="360"/>
      </w:pPr>
    </w:lvl>
    <w:lvl w:ilvl="5" w:tplc="660680A6" w:tentative="1">
      <w:start w:val="1"/>
      <w:numFmt w:val="lowerRoman"/>
      <w:lvlText w:val="%6."/>
      <w:lvlJc w:val="right"/>
      <w:pPr>
        <w:ind w:left="4320" w:hanging="180"/>
      </w:pPr>
    </w:lvl>
    <w:lvl w:ilvl="6" w:tplc="E304A74E" w:tentative="1">
      <w:start w:val="1"/>
      <w:numFmt w:val="decimal"/>
      <w:lvlText w:val="%7."/>
      <w:lvlJc w:val="left"/>
      <w:pPr>
        <w:ind w:left="5040" w:hanging="360"/>
      </w:pPr>
    </w:lvl>
    <w:lvl w:ilvl="7" w:tplc="ED9654C4" w:tentative="1">
      <w:start w:val="1"/>
      <w:numFmt w:val="lowerLetter"/>
      <w:lvlText w:val="%8."/>
      <w:lvlJc w:val="left"/>
      <w:pPr>
        <w:ind w:left="5760" w:hanging="360"/>
      </w:pPr>
    </w:lvl>
    <w:lvl w:ilvl="8" w:tplc="5BD8BF42" w:tentative="1">
      <w:start w:val="1"/>
      <w:numFmt w:val="lowerRoman"/>
      <w:lvlText w:val="%9."/>
      <w:lvlJc w:val="right"/>
      <w:pPr>
        <w:ind w:left="6480" w:hanging="180"/>
      </w:pPr>
    </w:lvl>
  </w:abstractNum>
  <w:abstractNum w:abstractNumId="11" w15:restartNumberingAfterBreak="0">
    <w:nsid w:val="7EB701BE"/>
    <w:multiLevelType w:val="hybridMultilevel"/>
    <w:tmpl w:val="58624032"/>
    <w:name w:val="UnnamedList14437"/>
    <w:lvl w:ilvl="0" w:tplc="5A0AB2F0">
      <w:start w:val="1"/>
      <w:numFmt w:val="lowerRoman"/>
      <w:lvlText w:val="(%1)"/>
      <w:lvlJc w:val="left"/>
      <w:pPr>
        <w:ind w:left="1080" w:hanging="720"/>
      </w:pPr>
      <w:rPr>
        <w:rFonts w:hint="default"/>
      </w:rPr>
    </w:lvl>
    <w:lvl w:ilvl="1" w:tplc="5428185E" w:tentative="1">
      <w:start w:val="1"/>
      <w:numFmt w:val="lowerLetter"/>
      <w:lvlText w:val="%2."/>
      <w:lvlJc w:val="left"/>
      <w:pPr>
        <w:ind w:left="1440" w:hanging="360"/>
      </w:pPr>
    </w:lvl>
    <w:lvl w:ilvl="2" w:tplc="4776CD10" w:tentative="1">
      <w:start w:val="1"/>
      <w:numFmt w:val="lowerRoman"/>
      <w:lvlText w:val="%3."/>
      <w:lvlJc w:val="right"/>
      <w:pPr>
        <w:ind w:left="2160" w:hanging="180"/>
      </w:pPr>
    </w:lvl>
    <w:lvl w:ilvl="3" w:tplc="5F605228" w:tentative="1">
      <w:start w:val="1"/>
      <w:numFmt w:val="decimal"/>
      <w:lvlText w:val="%4."/>
      <w:lvlJc w:val="left"/>
      <w:pPr>
        <w:ind w:left="2880" w:hanging="360"/>
      </w:pPr>
    </w:lvl>
    <w:lvl w:ilvl="4" w:tplc="1FD44E80" w:tentative="1">
      <w:start w:val="1"/>
      <w:numFmt w:val="lowerLetter"/>
      <w:lvlText w:val="%5."/>
      <w:lvlJc w:val="left"/>
      <w:pPr>
        <w:ind w:left="3600" w:hanging="360"/>
      </w:pPr>
    </w:lvl>
    <w:lvl w:ilvl="5" w:tplc="F36069F2" w:tentative="1">
      <w:start w:val="1"/>
      <w:numFmt w:val="lowerRoman"/>
      <w:lvlText w:val="%6."/>
      <w:lvlJc w:val="right"/>
      <w:pPr>
        <w:ind w:left="4320" w:hanging="180"/>
      </w:pPr>
    </w:lvl>
    <w:lvl w:ilvl="6" w:tplc="D4CE61E6" w:tentative="1">
      <w:start w:val="1"/>
      <w:numFmt w:val="decimal"/>
      <w:lvlText w:val="%7."/>
      <w:lvlJc w:val="left"/>
      <w:pPr>
        <w:ind w:left="5040" w:hanging="360"/>
      </w:pPr>
    </w:lvl>
    <w:lvl w:ilvl="7" w:tplc="36E44802" w:tentative="1">
      <w:start w:val="1"/>
      <w:numFmt w:val="lowerLetter"/>
      <w:lvlText w:val="%8."/>
      <w:lvlJc w:val="left"/>
      <w:pPr>
        <w:ind w:left="5760" w:hanging="360"/>
      </w:pPr>
    </w:lvl>
    <w:lvl w:ilvl="8" w:tplc="F43434FC" w:tentative="1">
      <w:start w:val="1"/>
      <w:numFmt w:val="lowerRoman"/>
      <w:lvlText w:val="%9."/>
      <w:lvlJc w:val="right"/>
      <w:pPr>
        <w:ind w:left="6480" w:hanging="180"/>
      </w:pPr>
    </w:lvl>
  </w:abstractNum>
  <w:num w:numId="1" w16cid:durableId="1876037217">
    <w:abstractNumId w:val="9"/>
  </w:num>
  <w:num w:numId="2" w16cid:durableId="160316436">
    <w:abstractNumId w:val="7"/>
  </w:num>
  <w:num w:numId="3" w16cid:durableId="1590776903">
    <w:abstractNumId w:val="6"/>
  </w:num>
  <w:num w:numId="4" w16cid:durableId="1666779237">
    <w:abstractNumId w:val="5"/>
  </w:num>
  <w:num w:numId="5" w16cid:durableId="1741175025">
    <w:abstractNumId w:val="4"/>
  </w:num>
  <w:num w:numId="6" w16cid:durableId="1538741018">
    <w:abstractNumId w:val="8"/>
  </w:num>
  <w:num w:numId="7" w16cid:durableId="1878349558">
    <w:abstractNumId w:val="3"/>
  </w:num>
  <w:num w:numId="8" w16cid:durableId="801850690">
    <w:abstractNumId w:val="2"/>
  </w:num>
  <w:num w:numId="9" w16cid:durableId="12077932">
    <w:abstractNumId w:val="1"/>
  </w:num>
  <w:num w:numId="10" w16cid:durableId="940070034">
    <w:abstractNumId w:val="0"/>
  </w:num>
  <w:num w:numId="11" w16cid:durableId="1637442659">
    <w:abstractNumId w:val="10"/>
  </w:num>
  <w:num w:numId="12" w16cid:durableId="1152796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Term Sheet"/>
    <w:docVar w:name="IManageDocInfoCache(DocumentNumber)" w:val="106862049"/>
    <w:docVar w:name="IManageDocInfoCache(DocumentVersion)" w:val="1"/>
    <w:docVar w:name="IManageDocInfoCache(Matter)" w:val="1181781"/>
  </w:docVars>
  <w:rsids>
    <w:rsidRoot w:val="00DE5F8D"/>
    <w:rsid w:val="00054DC1"/>
    <w:rsid w:val="000831CE"/>
    <w:rsid w:val="000C5A46"/>
    <w:rsid w:val="000F48E6"/>
    <w:rsid w:val="00100AD5"/>
    <w:rsid w:val="001100D2"/>
    <w:rsid w:val="0016273E"/>
    <w:rsid w:val="00174ED2"/>
    <w:rsid w:val="00185B92"/>
    <w:rsid w:val="00291FA3"/>
    <w:rsid w:val="002C392D"/>
    <w:rsid w:val="00355772"/>
    <w:rsid w:val="003C42B6"/>
    <w:rsid w:val="003C6D70"/>
    <w:rsid w:val="00414B9D"/>
    <w:rsid w:val="00470C3C"/>
    <w:rsid w:val="004C432D"/>
    <w:rsid w:val="004D0881"/>
    <w:rsid w:val="00520C19"/>
    <w:rsid w:val="00522C53"/>
    <w:rsid w:val="00530ECB"/>
    <w:rsid w:val="00547B76"/>
    <w:rsid w:val="00574366"/>
    <w:rsid w:val="00580759"/>
    <w:rsid w:val="00581A8E"/>
    <w:rsid w:val="005D501D"/>
    <w:rsid w:val="0068530E"/>
    <w:rsid w:val="006C6C15"/>
    <w:rsid w:val="0071226D"/>
    <w:rsid w:val="007400E0"/>
    <w:rsid w:val="00791BC0"/>
    <w:rsid w:val="007962C4"/>
    <w:rsid w:val="007D4F2B"/>
    <w:rsid w:val="00815485"/>
    <w:rsid w:val="00881788"/>
    <w:rsid w:val="008C2F88"/>
    <w:rsid w:val="008D1A98"/>
    <w:rsid w:val="008D3779"/>
    <w:rsid w:val="009327DC"/>
    <w:rsid w:val="00985861"/>
    <w:rsid w:val="00A15750"/>
    <w:rsid w:val="00A25542"/>
    <w:rsid w:val="00A67566"/>
    <w:rsid w:val="00AA6A29"/>
    <w:rsid w:val="00B23A2A"/>
    <w:rsid w:val="00B53CD1"/>
    <w:rsid w:val="00B91BDB"/>
    <w:rsid w:val="00C4506D"/>
    <w:rsid w:val="00D665CF"/>
    <w:rsid w:val="00DC0033"/>
    <w:rsid w:val="00DE5F8D"/>
    <w:rsid w:val="00E37F2F"/>
    <w:rsid w:val="00E901E4"/>
    <w:rsid w:val="00EF5A1B"/>
    <w:rsid w:val="00F44619"/>
    <w:rsid w:val="00FE2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EDF48"/>
  <w15:docId w15:val="{8691A63D-B26D-4903-AA98-1103DE51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6D"/>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881788"/>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basedOn w:val="DefaultParagraphFont"/>
    <w:rPr>
      <w:color w:val="auto"/>
    </w:rPr>
  </w:style>
  <w:style w:type="paragraph" w:customStyle="1" w:styleId="Schedule">
    <w:name w:val="Schedule"/>
    <w:basedOn w:val="OHHpara"/>
    <w:next w:val="OHHpara"/>
    <w:rsid w:val="00FE2577"/>
    <w:pPr>
      <w:keepNext/>
      <w:jc w:val="center"/>
      <w:outlineLvl w:val="0"/>
    </w:pPr>
    <w:rPr>
      <w:b/>
      <w:caps/>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semiHidden/>
    <w:unhideWhenUsed/>
    <w:rsid w:val="0071226D"/>
    <w:pPr>
      <w:spacing w:after="100"/>
      <w:ind w:left="720" w:hanging="720"/>
    </w:pPr>
  </w:style>
  <w:style w:type="paragraph" w:styleId="TOC2">
    <w:name w:val="toc 2"/>
    <w:basedOn w:val="Normal"/>
    <w:next w:val="Normal"/>
    <w:autoRedefine/>
    <w:uiPriority w:val="39"/>
    <w:semiHidden/>
    <w:unhideWhenUsed/>
    <w:rsid w:val="0071226D"/>
    <w:pPr>
      <w:spacing w:after="100"/>
      <w:ind w:left="1440" w:hanging="720"/>
    </w:pPr>
  </w:style>
  <w:style w:type="paragraph" w:styleId="TOC3">
    <w:name w:val="toc 3"/>
    <w:basedOn w:val="Normal"/>
    <w:next w:val="Normal"/>
    <w:autoRedefine/>
    <w:uiPriority w:val="39"/>
    <w:semiHidden/>
    <w:unhideWhenUsed/>
    <w:rsid w:val="0071226D"/>
    <w:pPr>
      <w:spacing w:after="100"/>
      <w:ind w:left="2160" w:hanging="720"/>
    </w:pPr>
  </w:style>
  <w:style w:type="paragraph" w:styleId="TOC4">
    <w:name w:val="toc 4"/>
    <w:basedOn w:val="Normal"/>
    <w:next w:val="Normal"/>
    <w:autoRedefine/>
    <w:uiPriority w:val="39"/>
    <w:semiHidden/>
    <w:unhideWhenUsed/>
    <w:rsid w:val="0071226D"/>
    <w:pPr>
      <w:spacing w:after="100"/>
      <w:ind w:left="2880" w:hanging="720"/>
    </w:pPr>
  </w:style>
  <w:style w:type="paragraph" w:styleId="TOC5">
    <w:name w:val="toc 5"/>
    <w:basedOn w:val="Normal"/>
    <w:next w:val="Normal"/>
    <w:autoRedefine/>
    <w:uiPriority w:val="39"/>
    <w:semiHidden/>
    <w:unhideWhenUsed/>
    <w:rsid w:val="0071226D"/>
    <w:pPr>
      <w:spacing w:after="100"/>
      <w:ind w:left="3600" w:hanging="720"/>
    </w:pPr>
  </w:style>
  <w:style w:type="paragraph" w:styleId="TOC6">
    <w:name w:val="toc 6"/>
    <w:basedOn w:val="Normal"/>
    <w:next w:val="Normal"/>
    <w:autoRedefine/>
    <w:uiPriority w:val="39"/>
    <w:semiHidden/>
    <w:unhideWhenUsed/>
    <w:rsid w:val="0071226D"/>
    <w:pPr>
      <w:spacing w:after="100"/>
      <w:ind w:left="4320" w:hanging="720"/>
    </w:pPr>
  </w:style>
  <w:style w:type="paragraph" w:styleId="TOC7">
    <w:name w:val="toc 7"/>
    <w:basedOn w:val="Normal"/>
    <w:next w:val="Normal"/>
    <w:autoRedefine/>
    <w:uiPriority w:val="39"/>
    <w:semiHidden/>
    <w:unhideWhenUsed/>
    <w:rsid w:val="0071226D"/>
    <w:pPr>
      <w:spacing w:after="100"/>
      <w:ind w:left="5040" w:hanging="720"/>
    </w:pPr>
  </w:style>
  <w:style w:type="paragraph" w:styleId="TOC8">
    <w:name w:val="toc 8"/>
    <w:basedOn w:val="Normal"/>
    <w:next w:val="Normal"/>
    <w:autoRedefine/>
    <w:uiPriority w:val="39"/>
    <w:semiHidden/>
    <w:unhideWhenUsed/>
    <w:rsid w:val="0071226D"/>
    <w:pPr>
      <w:spacing w:after="100"/>
      <w:ind w:left="5760" w:hanging="720"/>
    </w:pPr>
  </w:style>
  <w:style w:type="paragraph" w:styleId="TOC9">
    <w:name w:val="toc 9"/>
    <w:basedOn w:val="Normal"/>
    <w:next w:val="Normal"/>
    <w:autoRedefine/>
    <w:uiPriority w:val="39"/>
    <w:semiHidden/>
    <w:unhideWhenUsed/>
    <w:rsid w:val="0071226D"/>
    <w:pPr>
      <w:spacing w:after="100"/>
      <w:ind w:left="6480" w:hanging="720"/>
    </w:pPr>
  </w:style>
  <w:style w:type="table" w:styleId="TableGrid">
    <w:name w:val="Table Grid"/>
    <w:basedOn w:val="TableNormal"/>
    <w:uiPriority w:val="59"/>
    <w:rsid w:val="0088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ingLine">
    <w:name w:val="SigningLine"/>
    <w:basedOn w:val="Normal"/>
    <w:link w:val="SigningLineChar"/>
    <w:rsid w:val="00881788"/>
    <w:pPr>
      <w:keepNext/>
      <w:keepLines/>
      <w:jc w:val="both"/>
    </w:pPr>
    <w:rPr>
      <w:szCs w:val="24"/>
    </w:rPr>
  </w:style>
  <w:style w:type="character" w:customStyle="1" w:styleId="SigningLineChar">
    <w:name w:val="SigningLine Char"/>
    <w:basedOn w:val="DefaultParagraphFont"/>
    <w:link w:val="SigningLine"/>
    <w:rsid w:val="00881788"/>
    <w:rPr>
      <w:sz w:val="24"/>
      <w:szCs w:val="24"/>
      <w:lang w:val="en-CA" w:eastAsia="en-US"/>
    </w:rPr>
  </w:style>
  <w:style w:type="character" w:styleId="PlaceholderText">
    <w:name w:val="Placeholder Text"/>
    <w:basedOn w:val="DefaultParagraphFont"/>
    <w:uiPriority w:val="99"/>
    <w:semiHidden/>
    <w:rsid w:val="005D501D"/>
    <w:rPr>
      <w:color w:val="666666"/>
    </w:rPr>
  </w:style>
  <w:style w:type="character" w:styleId="Hyperlink">
    <w:name w:val="Hyperlink"/>
    <w:basedOn w:val="DefaultParagraphFont"/>
    <w:uiPriority w:val="99"/>
    <w:unhideWhenUsed/>
    <w:rsid w:val="007400E0"/>
    <w:rPr>
      <w:color w:val="0000FF" w:themeColor="hyperlink"/>
      <w:u w:val="single"/>
    </w:rPr>
  </w:style>
  <w:style w:type="character" w:customStyle="1" w:styleId="FooterChar">
    <w:name w:val="Footer Char"/>
    <w:basedOn w:val="DefaultParagraphFont"/>
    <w:link w:val="Footer"/>
    <w:rsid w:val="007400E0"/>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LEGAL_1!106862049.1</documentid>
  <senderid>TMARTINEZ</senderid>
  <senderemail>TMARTINEZ@OSLER.COM</senderemail>
  <lastmodified>2026-01-27T11:37:00.0000000-08:00</lastmodified>
  <database>LEGAL_1</database>
</properties>
</file>

<file path=customXml/itemProps1.xml><?xml version="1.0" encoding="utf-8"?>
<ds:datastoreItem xmlns:ds="http://schemas.openxmlformats.org/officeDocument/2006/customXml" ds:itemID="{2335D21D-BE63-40EC-83A8-571255B58D2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4973</Characters>
  <Application>Microsoft Office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 Adam</dc:creator>
  <cp:lastModifiedBy>Maski, Adam</cp:lastModifiedBy>
  <cp:revision>4</cp:revision>
  <cp:lastPrinted>2026-01-27T18:39:00Z</cp:lastPrinted>
  <dcterms:created xsi:type="dcterms:W3CDTF">2026-01-28T20:18:00Z</dcterms:created>
  <dcterms:modified xsi:type="dcterms:W3CDTF">2026-01-29T16:44:00Z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True</vt:lpwstr>
  </property>
</Properties>
</file>